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89" w:rsidRPr="00E84C08" w:rsidRDefault="006E7989" w:rsidP="00534224">
      <w:pPr>
        <w:spacing w:after="120"/>
        <w:ind w:right="142"/>
        <w:jc w:val="right"/>
        <w:rPr>
          <w:sz w:val="80"/>
          <w:szCs w:val="80"/>
        </w:rPr>
      </w:pPr>
      <w:r w:rsidRPr="006D3E7E">
        <w:rPr>
          <w:noProof/>
          <w:sz w:val="80"/>
          <w:szCs w:val="80"/>
          <w:lang w:eastAsia="en-AU"/>
        </w:rPr>
        <w:drawing>
          <wp:anchor distT="0" distB="0" distL="114300" distR="114300" simplePos="0" relativeHeight="251659264" behindDoc="1" locked="0" layoutInCell="1" allowOverlap="1" wp14:anchorId="083CA559" wp14:editId="19A00CDE">
            <wp:simplePos x="0" y="0"/>
            <wp:positionH relativeFrom="page">
              <wp:align>left</wp:align>
            </wp:positionH>
            <wp:positionV relativeFrom="paragraph">
              <wp:posOffset>-541020</wp:posOffset>
            </wp:positionV>
            <wp:extent cx="7591646" cy="10736341"/>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fact she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1646" cy="10736341"/>
                    </a:xfrm>
                    <a:prstGeom prst="rect">
                      <a:avLst/>
                    </a:prstGeom>
                  </pic:spPr>
                </pic:pic>
              </a:graphicData>
            </a:graphic>
            <wp14:sizeRelH relativeFrom="page">
              <wp14:pctWidth>0</wp14:pctWidth>
            </wp14:sizeRelH>
            <wp14:sizeRelV relativeFrom="page">
              <wp14:pctHeight>0</wp14:pctHeight>
            </wp14:sizeRelV>
          </wp:anchor>
        </w:drawing>
      </w:r>
      <w:r w:rsidR="006D3E7E" w:rsidRPr="006D3E7E">
        <w:rPr>
          <w:sz w:val="80"/>
          <w:szCs w:val="80"/>
        </w:rPr>
        <w:t>Transporter</w:t>
      </w:r>
    </w:p>
    <w:p w:rsidR="00E84C08" w:rsidRPr="006E7989" w:rsidRDefault="00E84C08" w:rsidP="006E7989"/>
    <w:p w:rsidR="006E7989" w:rsidRPr="006E7989" w:rsidRDefault="006E7989" w:rsidP="006E7989"/>
    <w:p w:rsidR="006E7989" w:rsidRPr="006E7989" w:rsidRDefault="006E7989" w:rsidP="006E7989"/>
    <w:p w:rsidR="006E7989" w:rsidRPr="006E7989" w:rsidRDefault="006E7989" w:rsidP="006E7989"/>
    <w:p w:rsidR="006E7989" w:rsidRPr="006E7989" w:rsidRDefault="006E7989" w:rsidP="00E84C08">
      <w:pPr>
        <w:spacing w:after="0"/>
      </w:pPr>
    </w:p>
    <w:p w:rsidR="00E84C08" w:rsidRPr="00534224" w:rsidRDefault="00E84C08" w:rsidP="00E84C08">
      <w:pPr>
        <w:pStyle w:val="Heading1"/>
        <w:tabs>
          <w:tab w:val="right" w:pos="10773"/>
        </w:tabs>
        <w:ind w:right="142"/>
        <w:jc w:val="both"/>
        <w:rPr>
          <w:color w:val="auto"/>
          <w:sz w:val="32"/>
        </w:rPr>
      </w:pPr>
      <w:r>
        <w:rPr>
          <w:color w:val="auto"/>
          <w:sz w:val="28"/>
        </w:rPr>
        <w:tab/>
      </w:r>
      <w:r w:rsidRPr="00534224">
        <w:rPr>
          <w:color w:val="auto"/>
          <w:sz w:val="32"/>
        </w:rPr>
        <w:t>J</w:t>
      </w:r>
      <w:r w:rsidR="00534224" w:rsidRPr="00534224">
        <w:rPr>
          <w:color w:val="auto"/>
          <w:sz w:val="32"/>
        </w:rPr>
        <w:t>uly</w:t>
      </w:r>
      <w:r w:rsidRPr="00534224">
        <w:rPr>
          <w:color w:val="auto"/>
          <w:sz w:val="32"/>
        </w:rPr>
        <w:t xml:space="preserve"> 2016</w:t>
      </w:r>
    </w:p>
    <w:p w:rsidR="00EF0882" w:rsidRPr="00954FE5" w:rsidRDefault="00EF0882" w:rsidP="00E84C08">
      <w:pPr>
        <w:pStyle w:val="Heading1"/>
        <w:spacing w:before="0" w:after="120"/>
        <w:ind w:right="142"/>
        <w:jc w:val="both"/>
        <w:rPr>
          <w:color w:val="009999"/>
        </w:rPr>
      </w:pPr>
      <w:r w:rsidRPr="00954FE5">
        <w:rPr>
          <w:color w:val="009999"/>
        </w:rPr>
        <w:t>Wet and Wintery</w:t>
      </w:r>
    </w:p>
    <w:p w:rsidR="00781905" w:rsidRDefault="00D3039E" w:rsidP="000B3A90">
      <w:pPr>
        <w:ind w:right="142"/>
        <w:jc w:val="both"/>
        <w:rPr>
          <w:lang w:val="en-GB"/>
        </w:rPr>
      </w:pPr>
      <w:r>
        <w:rPr>
          <w:lang w:val="en-GB"/>
        </w:rPr>
        <w:t>The start of w</w:t>
      </w:r>
      <w:r w:rsidR="00EF0882">
        <w:rPr>
          <w:lang w:val="en-GB"/>
        </w:rPr>
        <w:t>inter 2016 has certainly been felt right across the state</w:t>
      </w:r>
      <w:r w:rsidR="00781905">
        <w:rPr>
          <w:lang w:val="en-GB"/>
        </w:rPr>
        <w:t>,</w:t>
      </w:r>
      <w:r w:rsidR="00EF0882">
        <w:rPr>
          <w:lang w:val="en-GB"/>
        </w:rPr>
        <w:t xml:space="preserve"> and it has had a significant impact on people, roads and services. </w:t>
      </w:r>
      <w:r w:rsidR="00781905">
        <w:rPr>
          <w:lang w:val="en-GB"/>
        </w:rPr>
        <w:t xml:space="preserve"> </w:t>
      </w:r>
      <w:r>
        <w:rPr>
          <w:lang w:val="en-GB"/>
        </w:rPr>
        <w:t xml:space="preserve">Everyone in the Contracts </w:t>
      </w:r>
      <w:r w:rsidR="00EF0882">
        <w:rPr>
          <w:lang w:val="en-GB"/>
        </w:rPr>
        <w:t xml:space="preserve">team would like to extend thanks and appreciation to </w:t>
      </w:r>
      <w:r w:rsidR="004B6C67">
        <w:rPr>
          <w:lang w:val="en-GB"/>
        </w:rPr>
        <w:t>contractors</w:t>
      </w:r>
      <w:r w:rsidR="00EF0882">
        <w:rPr>
          <w:lang w:val="en-GB"/>
        </w:rPr>
        <w:t xml:space="preserve"> who worked to keep their services running wherever possible and see passengers safely to their destination</w:t>
      </w:r>
      <w:r>
        <w:rPr>
          <w:lang w:val="en-GB"/>
        </w:rPr>
        <w:t>,</w:t>
      </w:r>
      <w:r w:rsidR="00EF0882">
        <w:rPr>
          <w:lang w:val="en-GB"/>
        </w:rPr>
        <w:t xml:space="preserve"> despite extraordinary weather events. </w:t>
      </w:r>
    </w:p>
    <w:p w:rsidR="00EF0882" w:rsidRPr="006E7989" w:rsidRDefault="00EF0882" w:rsidP="0008189B">
      <w:pPr>
        <w:ind w:right="142"/>
        <w:jc w:val="both"/>
        <w:rPr>
          <w:lang w:val="en-GB"/>
        </w:rPr>
      </w:pPr>
      <w:r>
        <w:rPr>
          <w:lang w:val="en-GB"/>
        </w:rPr>
        <w:t xml:space="preserve">We </w:t>
      </w:r>
      <w:r w:rsidR="00D3039E">
        <w:rPr>
          <w:lang w:val="en-GB"/>
        </w:rPr>
        <w:t>are grateful for</w:t>
      </w:r>
      <w:r>
        <w:rPr>
          <w:lang w:val="en-GB"/>
        </w:rPr>
        <w:t xml:space="preserve"> the cooperation of contractors and drivers in monitoring road and school closure information and working with schools, police and other emergency services to ensure services operated safely</w:t>
      </w:r>
      <w:r w:rsidR="00D3039E">
        <w:rPr>
          <w:lang w:val="en-GB"/>
        </w:rPr>
        <w:t>,</w:t>
      </w:r>
      <w:r>
        <w:rPr>
          <w:lang w:val="en-GB"/>
        </w:rPr>
        <w:t xml:space="preserve"> or were cancelled with early advice circulated to passengers and schools. </w:t>
      </w:r>
      <w:r w:rsidR="00D3039E">
        <w:rPr>
          <w:lang w:val="en-GB"/>
        </w:rPr>
        <w:t xml:space="preserve"> We also appreciate </w:t>
      </w:r>
      <w:r>
        <w:rPr>
          <w:lang w:val="en-GB"/>
        </w:rPr>
        <w:t>the way contractors kept us informed of the situation on the ground.</w:t>
      </w:r>
    </w:p>
    <w:p w:rsidR="00EF0882" w:rsidRPr="00954FE5" w:rsidRDefault="00EF0882" w:rsidP="00534224">
      <w:pPr>
        <w:pStyle w:val="Heading1"/>
        <w:spacing w:before="320" w:after="120"/>
        <w:ind w:right="142"/>
        <w:jc w:val="both"/>
        <w:rPr>
          <w:color w:val="009999"/>
        </w:rPr>
      </w:pPr>
      <w:r w:rsidRPr="00954FE5">
        <w:rPr>
          <w:color w:val="009999"/>
        </w:rPr>
        <w:t>Public bus service recontracting project (Project 2018)</w:t>
      </w:r>
    </w:p>
    <w:p w:rsidR="00232BA3" w:rsidRDefault="00232BA3" w:rsidP="000B3A90">
      <w:pPr>
        <w:ind w:right="142"/>
        <w:jc w:val="both"/>
      </w:pPr>
      <w:r>
        <w:t xml:space="preserve">Work has been continuing with Project 2018 as the team </w:t>
      </w:r>
      <w:r w:rsidR="005A4A7C">
        <w:t>reviews</w:t>
      </w:r>
      <w:r>
        <w:t xml:space="preserve"> </w:t>
      </w:r>
      <w:r w:rsidR="00F51810">
        <w:t>over</w:t>
      </w:r>
      <w:r>
        <w:t xml:space="preserve"> three hundred rural school bus surveys in order to provid</w:t>
      </w:r>
      <w:r w:rsidR="00ED7C9E">
        <w:t>e</w:t>
      </w:r>
      <w:r>
        <w:t xml:space="preserve"> initial advice on the expected recontracting of services.</w:t>
      </w:r>
    </w:p>
    <w:p w:rsidR="00232BA3" w:rsidRDefault="00232BA3" w:rsidP="000B3A90">
      <w:pPr>
        <w:ind w:right="142"/>
        <w:jc w:val="both"/>
      </w:pPr>
      <w:r>
        <w:t>The process (described in more detail below) is taking longer</w:t>
      </w:r>
      <w:r w:rsidR="005A4A7C">
        <w:t xml:space="preserve"> than anticipated, with around </w:t>
      </w:r>
      <w:r>
        <w:t>half the routes assessed.  Unfortunately we are still chasing up late surveys from operators</w:t>
      </w:r>
      <w:r w:rsidR="001A4B73">
        <w:t>,</w:t>
      </w:r>
      <w:r>
        <w:t xml:space="preserve"> which is slowing down the process i</w:t>
      </w:r>
      <w:r w:rsidR="00F51810">
        <w:t>n some areas, but ultimately it is the sheer volume of information</w:t>
      </w:r>
      <w:r w:rsidR="00BD3707">
        <w:t>, and complexity of inter-related routes, that is causing the delay</w:t>
      </w:r>
      <w:r w:rsidR="00F51810">
        <w:t>.</w:t>
      </w:r>
    </w:p>
    <w:p w:rsidR="0096184D" w:rsidRDefault="00F51810" w:rsidP="000B3A90">
      <w:pPr>
        <w:ind w:right="142"/>
        <w:jc w:val="both"/>
      </w:pPr>
      <w:r>
        <w:t>The outcome of this is that we have missed the target</w:t>
      </w:r>
      <w:r w:rsidR="0096184D">
        <w:t>ed</w:t>
      </w:r>
      <w:r>
        <w:t xml:space="preserve"> 30 June date when we wanted to start </w:t>
      </w:r>
      <w:r w:rsidR="005A4A7C">
        <w:t>issuing</w:t>
      </w:r>
      <w:r>
        <w:t xml:space="preserve"> advice</w:t>
      </w:r>
      <w:r w:rsidR="005A4A7C">
        <w:t>,</w:t>
      </w:r>
      <w:r>
        <w:t xml:space="preserve"> and are </w:t>
      </w:r>
      <w:r w:rsidR="001A4B73">
        <w:t xml:space="preserve">now working hard to ensure that </w:t>
      </w:r>
      <w:r>
        <w:t xml:space="preserve">advice </w:t>
      </w:r>
      <w:r w:rsidR="0096184D">
        <w:t>is</w:t>
      </w:r>
      <w:r>
        <w:t xml:space="preserve"> </w:t>
      </w:r>
      <w:r w:rsidR="001A4B73">
        <w:t>sent</w:t>
      </w:r>
      <w:r>
        <w:t xml:space="preserve"> to contractors at least 18 months prior to contract expiry</w:t>
      </w:r>
      <w:r w:rsidR="00BD3707">
        <w:t xml:space="preserve"> (requiring the first round of advice to go out in August</w:t>
      </w:r>
      <w:r w:rsidR="005A4A7C">
        <w:t xml:space="preserve"> 2016</w:t>
      </w:r>
      <w:r w:rsidR="00BD3707">
        <w:t>)</w:t>
      </w:r>
      <w:r w:rsidR="00ED7C9E">
        <w:t>.</w:t>
      </w:r>
    </w:p>
    <w:p w:rsidR="00F51810" w:rsidRDefault="00BD3707" w:rsidP="000B3A90">
      <w:pPr>
        <w:ind w:right="142"/>
        <w:jc w:val="both"/>
      </w:pPr>
      <w:r>
        <w:t>We wish to give</w:t>
      </w:r>
      <w:r w:rsidR="0096184D">
        <w:t xml:space="preserve"> </w:t>
      </w:r>
      <w:r>
        <w:t>operators</w:t>
      </w:r>
      <w:r w:rsidR="0096184D">
        <w:t xml:space="preserve"> the opportunity to discuss </w:t>
      </w:r>
      <w:r>
        <w:t xml:space="preserve">and understand </w:t>
      </w:r>
      <w:r w:rsidR="00E62D75">
        <w:t>any</w:t>
      </w:r>
      <w:r w:rsidR="0096184D">
        <w:t xml:space="preserve"> </w:t>
      </w:r>
      <w:r w:rsidR="005A4A7C">
        <w:t>issues</w:t>
      </w:r>
      <w:r w:rsidR="0096184D">
        <w:t xml:space="preserve"> identified in th</w:t>
      </w:r>
      <w:r w:rsidR="00E62D75">
        <w:t>is initial</w:t>
      </w:r>
      <w:r w:rsidR="0096184D">
        <w:t xml:space="preserve"> review </w:t>
      </w:r>
      <w:r w:rsidR="00E62D75">
        <w:t>before we engage with schools and the wider school community around possible route changes</w:t>
      </w:r>
      <w:r w:rsidR="005A4A7C">
        <w:t>,</w:t>
      </w:r>
      <w:r w:rsidR="0096184D">
        <w:t xml:space="preserve"> so that any errors of interpretation can be corrected</w:t>
      </w:r>
      <w:r>
        <w:t xml:space="preserve">.  </w:t>
      </w:r>
      <w:r w:rsidR="00E62D75">
        <w:t xml:space="preserve">To this end, you will soon receive a </w:t>
      </w:r>
      <w:r w:rsidR="005A4A7C">
        <w:t>D</w:t>
      </w:r>
      <w:r w:rsidR="00E62D75">
        <w:t>eed which you will be asked to sign and return if you wish to be provided with this opportunity</w:t>
      </w:r>
      <w:r w:rsidR="001A4B73">
        <w:t>,</w:t>
      </w:r>
      <w:r w:rsidR="00E62D75">
        <w:t xml:space="preserve"> ahead of the wider process of consultation.  This</w:t>
      </w:r>
      <w:r w:rsidR="0096184D">
        <w:t xml:space="preserve"> </w:t>
      </w:r>
      <w:r w:rsidR="007F4A12">
        <w:t>D</w:t>
      </w:r>
      <w:r w:rsidR="0096184D">
        <w:t xml:space="preserve">eed will </w:t>
      </w:r>
      <w:r w:rsidR="00ED7C9E">
        <w:t>require</w:t>
      </w:r>
      <w:r w:rsidR="0096184D">
        <w:t xml:space="preserve"> operators to keep any information provided to you </w:t>
      </w:r>
      <w:r w:rsidR="00E62D75">
        <w:t xml:space="preserve">during this process </w:t>
      </w:r>
      <w:r w:rsidR="0096184D">
        <w:t>confidential</w:t>
      </w:r>
      <w:r w:rsidR="00ED7C9E">
        <w:t xml:space="preserve">.  When the </w:t>
      </w:r>
      <w:r w:rsidR="007F4A12">
        <w:t>D</w:t>
      </w:r>
      <w:r w:rsidR="00ED7C9E">
        <w:t xml:space="preserve">eed is sent out, you are encouraged to </w:t>
      </w:r>
      <w:r w:rsidR="00ED7C9E" w:rsidRPr="001A4B73">
        <w:t>read it carefully and make sure you understand it before signing it</w:t>
      </w:r>
      <w:r w:rsidR="00ED7C9E">
        <w:t>.</w:t>
      </w:r>
      <w:r w:rsidR="0096184D">
        <w:t xml:space="preserve">   </w:t>
      </w:r>
    </w:p>
    <w:p w:rsidR="00232BA3" w:rsidRDefault="00E62D75" w:rsidP="00534224">
      <w:pPr>
        <w:spacing w:after="0"/>
        <w:ind w:right="142"/>
        <w:jc w:val="both"/>
      </w:pPr>
      <w:r>
        <w:t>T</w:t>
      </w:r>
      <w:r w:rsidR="00232BA3">
        <w:t xml:space="preserve">he </w:t>
      </w:r>
      <w:r w:rsidR="00F51810">
        <w:t xml:space="preserve">initial </w:t>
      </w:r>
      <w:r w:rsidR="00ED7C9E">
        <w:t>review</w:t>
      </w:r>
      <w:r w:rsidR="001A4B73">
        <w:t xml:space="preserve"> of General Access services is now complete</w:t>
      </w:r>
      <w:r w:rsidR="00232BA3">
        <w:t xml:space="preserve"> and we are </w:t>
      </w:r>
      <w:r w:rsidR="00ED7C9E">
        <w:t>expecting to be able to send out initial advice</w:t>
      </w:r>
      <w:r w:rsidR="007F4A12">
        <w:t xml:space="preserve"> on these contracts soon</w:t>
      </w:r>
      <w:r w:rsidR="00ED7C9E">
        <w:t>.</w:t>
      </w:r>
    </w:p>
    <w:p w:rsidR="00232BA3" w:rsidRPr="001A4B73" w:rsidRDefault="008F0B3A" w:rsidP="00CD684A">
      <w:pPr>
        <w:pStyle w:val="Heading1"/>
        <w:spacing w:after="40"/>
        <w:ind w:right="142"/>
        <w:rPr>
          <w:color w:val="009999"/>
          <w:sz w:val="26"/>
          <w:szCs w:val="26"/>
        </w:rPr>
      </w:pPr>
      <w:r>
        <w:rPr>
          <w:color w:val="009999"/>
          <w:sz w:val="26"/>
          <w:szCs w:val="26"/>
        </w:rPr>
        <w:t>Rural school bus routes assessment process</w:t>
      </w:r>
    </w:p>
    <w:p w:rsidR="00ED7C9E" w:rsidRDefault="008F0B3A" w:rsidP="000B3A90">
      <w:pPr>
        <w:ind w:right="142"/>
        <w:jc w:val="both"/>
      </w:pPr>
      <w:r>
        <w:t>Once</w:t>
      </w:r>
      <w:r w:rsidR="00ED7C9E">
        <w:t xml:space="preserve"> the bus survey is received for a trip, it is first </w:t>
      </w:r>
      <w:r w:rsidR="00232BA3">
        <w:t xml:space="preserve">assessed against the existing </w:t>
      </w:r>
      <w:r w:rsidR="00ED7C9E">
        <w:t xml:space="preserve">rural school bus </w:t>
      </w:r>
      <w:r w:rsidR="00232BA3">
        <w:t>guidelines, as though it were a new route</w:t>
      </w:r>
      <w:r w:rsidR="00E62D75">
        <w:t>,</w:t>
      </w:r>
      <w:r w:rsidR="00ED7C9E">
        <w:t xml:space="preserve"> to see if </w:t>
      </w:r>
      <w:r w:rsidR="00E62D75">
        <w:t>that route would be contracted today under the guidelines.</w:t>
      </w:r>
      <w:r w:rsidR="00ED7C9E">
        <w:t xml:space="preserve">  </w:t>
      </w:r>
    </w:p>
    <w:p w:rsidR="00781905" w:rsidRDefault="00781905" w:rsidP="00781905">
      <w:pPr>
        <w:jc w:val="both"/>
      </w:pPr>
    </w:p>
    <w:p w:rsidR="007D08DA" w:rsidRDefault="007D08DA" w:rsidP="000B3A90">
      <w:pPr>
        <w:ind w:right="142"/>
        <w:jc w:val="both"/>
      </w:pPr>
    </w:p>
    <w:p w:rsidR="00232BA3" w:rsidRDefault="00ED7C9E" w:rsidP="000B3A90">
      <w:pPr>
        <w:ind w:right="142"/>
        <w:jc w:val="both"/>
      </w:pPr>
      <w:r>
        <w:t>The elements that are checked are whether:</w:t>
      </w:r>
    </w:p>
    <w:p w:rsidR="00232BA3" w:rsidRDefault="00ED7C9E" w:rsidP="000B3A90">
      <w:pPr>
        <w:pStyle w:val="ListParagraph"/>
        <w:numPr>
          <w:ilvl w:val="0"/>
          <w:numId w:val="1"/>
        </w:numPr>
        <w:ind w:right="142"/>
        <w:jc w:val="both"/>
      </w:pPr>
      <w:r>
        <w:t>t</w:t>
      </w:r>
      <w:r w:rsidR="00232BA3">
        <w:t>he route starts at least 5km from the school;</w:t>
      </w:r>
    </w:p>
    <w:p w:rsidR="00232BA3" w:rsidRDefault="00232BA3" w:rsidP="000B3A90">
      <w:pPr>
        <w:pStyle w:val="ListParagraph"/>
        <w:numPr>
          <w:ilvl w:val="0"/>
          <w:numId w:val="1"/>
        </w:numPr>
        <w:ind w:right="142"/>
        <w:jc w:val="both"/>
      </w:pPr>
      <w:r>
        <w:t>the service picks up at least ten students more than 3kms from the school;</w:t>
      </w:r>
    </w:p>
    <w:p w:rsidR="00232BA3" w:rsidRDefault="00232BA3" w:rsidP="000B3A90">
      <w:pPr>
        <w:pStyle w:val="ListParagraph"/>
        <w:numPr>
          <w:ilvl w:val="0"/>
          <w:numId w:val="1"/>
        </w:numPr>
        <w:ind w:right="142"/>
        <w:jc w:val="both"/>
      </w:pPr>
      <w:r>
        <w:t>it picks up 8 students at the fi</w:t>
      </w:r>
      <w:r w:rsidR="00ED7C9E">
        <w:t>r</w:t>
      </w:r>
      <w:r>
        <w:t>st stop;</w:t>
      </w:r>
    </w:p>
    <w:p w:rsidR="00232BA3" w:rsidRDefault="00232BA3" w:rsidP="000B3A90">
      <w:pPr>
        <w:pStyle w:val="ListParagraph"/>
        <w:numPr>
          <w:ilvl w:val="0"/>
          <w:numId w:val="1"/>
        </w:numPr>
        <w:ind w:right="142"/>
        <w:jc w:val="both"/>
      </w:pPr>
      <w:r>
        <w:t xml:space="preserve">the service is </w:t>
      </w:r>
      <w:r w:rsidR="00ED7C9E">
        <w:t>wholly</w:t>
      </w:r>
      <w:r>
        <w:t xml:space="preserve"> with</w:t>
      </w:r>
      <w:r w:rsidR="00ED7C9E">
        <w:t>in</w:t>
      </w:r>
      <w:r>
        <w:t xml:space="preserve"> a </w:t>
      </w:r>
      <w:r w:rsidR="00ED7C9E">
        <w:t xml:space="preserve">Primary School </w:t>
      </w:r>
      <w:r>
        <w:t xml:space="preserve">Home School Area </w:t>
      </w:r>
      <w:r w:rsidR="00ED7C9E">
        <w:t xml:space="preserve">(if it only services a primary school) </w:t>
      </w:r>
      <w:r>
        <w:t>or</w:t>
      </w:r>
      <w:r w:rsidR="00ED7C9E">
        <w:t xml:space="preserve"> high school</w:t>
      </w:r>
      <w:r>
        <w:t xml:space="preserve"> feeder school area</w:t>
      </w:r>
      <w:r w:rsidR="00ED7C9E">
        <w:t xml:space="preserve"> (if it also services a secondary school)</w:t>
      </w:r>
      <w:r>
        <w:t>;</w:t>
      </w:r>
    </w:p>
    <w:p w:rsidR="00ED7C9E" w:rsidRDefault="00ED7C9E" w:rsidP="000B3A90">
      <w:pPr>
        <w:pStyle w:val="ListParagraph"/>
        <w:numPr>
          <w:ilvl w:val="0"/>
          <w:numId w:val="1"/>
        </w:numPr>
        <w:ind w:right="142"/>
        <w:jc w:val="both"/>
      </w:pPr>
      <w:r>
        <w:t xml:space="preserve">any spur or deviation </w:t>
      </w:r>
      <w:r w:rsidR="00E62D75">
        <w:t>carries</w:t>
      </w:r>
      <w:r>
        <w:t xml:space="preserve"> more than 8 students; </w:t>
      </w:r>
    </w:p>
    <w:p w:rsidR="00ED7C9E" w:rsidRDefault="00ED7C9E" w:rsidP="000B3A90">
      <w:pPr>
        <w:pStyle w:val="ListParagraph"/>
        <w:numPr>
          <w:ilvl w:val="0"/>
          <w:numId w:val="1"/>
        </w:numPr>
        <w:ind w:right="142"/>
        <w:jc w:val="both"/>
      </w:pPr>
      <w:r>
        <w:t>it is wholly outside the urban boundaries; and</w:t>
      </w:r>
    </w:p>
    <w:p w:rsidR="00A44665" w:rsidRDefault="008F0B3A" w:rsidP="000B3A90">
      <w:pPr>
        <w:pStyle w:val="ListParagraph"/>
        <w:numPr>
          <w:ilvl w:val="0"/>
          <w:numId w:val="1"/>
        </w:numPr>
        <w:spacing w:after="240"/>
        <w:ind w:left="714" w:right="142" w:hanging="357"/>
        <w:contextualSpacing w:val="0"/>
        <w:jc w:val="both"/>
      </w:pPr>
      <w:proofErr w:type="gramStart"/>
      <w:r>
        <w:t>it</w:t>
      </w:r>
      <w:proofErr w:type="gramEnd"/>
      <w:r w:rsidR="00ED7C9E">
        <w:t xml:space="preserve"> is a regular passenger service.</w:t>
      </w:r>
    </w:p>
    <w:p w:rsidR="00A44665" w:rsidRDefault="00A44665" w:rsidP="000B3A90">
      <w:pPr>
        <w:pStyle w:val="ListParagraph"/>
        <w:ind w:left="0" w:right="142"/>
        <w:jc w:val="both"/>
      </w:pPr>
      <w:r>
        <w:t>The patronage numbers provided on the survey are also checked against previous ten day count</w:t>
      </w:r>
      <w:r w:rsidR="001A4B73">
        <w:t>s</w:t>
      </w:r>
      <w:r>
        <w:t xml:space="preserve"> and Department of Education data on state school students as a data quality check.  If there is a significant difference</w:t>
      </w:r>
      <w:r w:rsidR="001A4B73">
        <w:t>,</w:t>
      </w:r>
      <w:r>
        <w:t xml:space="preserve"> this is noted.</w:t>
      </w:r>
    </w:p>
    <w:p w:rsidR="00A44665" w:rsidRDefault="00A44665" w:rsidP="000B3A90">
      <w:pPr>
        <w:ind w:right="142"/>
        <w:jc w:val="both"/>
      </w:pPr>
      <w:r>
        <w:t xml:space="preserve">Failing any of </w:t>
      </w:r>
      <w:r w:rsidR="00DE2564">
        <w:t>the above checks</w:t>
      </w:r>
      <w:r>
        <w:t xml:space="preserve"> is not in itself a reason for us to say that a s</w:t>
      </w:r>
      <w:r w:rsidR="008F0B3A">
        <w:t>ervice may not be recontracted (</w:t>
      </w:r>
      <w:r>
        <w:t>for example many services are not picking up eight students at the first stop or they cross home school area boundaries</w:t>
      </w:r>
      <w:r w:rsidR="008F0B3A">
        <w:t>)</w:t>
      </w:r>
      <w:r>
        <w:t>, bu</w:t>
      </w:r>
      <w:r w:rsidR="008F0B3A">
        <w:t>t we are still able to identify,</w:t>
      </w:r>
      <w:r w:rsidR="00DE2564">
        <w:t xml:space="preserve"> </w:t>
      </w:r>
      <w:r>
        <w:t xml:space="preserve">based on the overall information we have on that service, </w:t>
      </w:r>
      <w:r w:rsidR="00DE2564">
        <w:t xml:space="preserve">that </w:t>
      </w:r>
      <w:r>
        <w:t xml:space="preserve">we would want to recontract </w:t>
      </w:r>
      <w:r w:rsidR="00DE2564">
        <w:t>the service</w:t>
      </w:r>
      <w:r>
        <w:t>, further conversation</w:t>
      </w:r>
      <w:r w:rsidR="008F0B3A">
        <w:t>s may be required</w:t>
      </w:r>
      <w:r>
        <w:t xml:space="preserve"> about </w:t>
      </w:r>
      <w:r w:rsidR="008F0B3A">
        <w:t>the</w:t>
      </w:r>
      <w:r>
        <w:t xml:space="preserve"> starting point </w:t>
      </w:r>
      <w:r w:rsidR="008F0B3A">
        <w:t xml:space="preserve">of the service </w:t>
      </w:r>
      <w:r>
        <w:t xml:space="preserve">under the new contract. </w:t>
      </w:r>
    </w:p>
    <w:p w:rsidR="00232BA3" w:rsidRDefault="00232BA3" w:rsidP="000B3A90">
      <w:pPr>
        <w:ind w:right="142"/>
        <w:jc w:val="both"/>
      </w:pPr>
      <w:r>
        <w:t>The final step in th</w:t>
      </w:r>
      <w:r w:rsidR="00A44665">
        <w:t xml:space="preserve">is </w:t>
      </w:r>
      <w:r>
        <w:t xml:space="preserve">process has been </w:t>
      </w:r>
      <w:r w:rsidR="00BD3707">
        <w:t>for senior officers to</w:t>
      </w:r>
      <w:r>
        <w:t xml:space="preserve"> sit down and review individual routes in the context of the overall </w:t>
      </w:r>
      <w:r w:rsidR="00E62D75">
        <w:t xml:space="preserve">bus </w:t>
      </w:r>
      <w:r>
        <w:t>network in the area</w:t>
      </w:r>
      <w:r w:rsidR="00BD3707">
        <w:t xml:space="preserve">, particularly where services overlap </w:t>
      </w:r>
      <w:r w:rsidR="00E62D75">
        <w:t>or</w:t>
      </w:r>
      <w:r w:rsidR="00BD3707">
        <w:t xml:space="preserve"> there is the opportunity to combine services </w:t>
      </w:r>
      <w:r w:rsidR="00E62D75">
        <w:t>to</w:t>
      </w:r>
      <w:r w:rsidR="00BD3707">
        <w:t xml:space="preserve"> better cover an area</w:t>
      </w:r>
      <w:r w:rsidR="00E62D75">
        <w:t xml:space="preserve">.  In doing this we </w:t>
      </w:r>
      <w:r w:rsidR="005207CA">
        <w:t>have also</w:t>
      </w:r>
      <w:r w:rsidR="00E62D75">
        <w:t xml:space="preserve"> </w:t>
      </w:r>
      <w:r w:rsidR="00732865">
        <w:t>taken into account</w:t>
      </w:r>
      <w:r w:rsidR="00E62D75">
        <w:t xml:space="preserve"> </w:t>
      </w:r>
      <w:r w:rsidR="00BD3707">
        <w:t xml:space="preserve">any </w:t>
      </w:r>
      <w:r w:rsidR="00E62D75">
        <w:t xml:space="preserve">known </w:t>
      </w:r>
      <w:r w:rsidR="00BD3707">
        <w:t>issues in the area (</w:t>
      </w:r>
      <w:r w:rsidR="008F0B3A">
        <w:t>for example</w:t>
      </w:r>
      <w:r w:rsidR="00BD3707">
        <w:t xml:space="preserve"> requests </w:t>
      </w:r>
      <w:r w:rsidR="00E62D75">
        <w:t>for new services</w:t>
      </w:r>
      <w:r w:rsidR="00BD3707">
        <w:t xml:space="preserve"> or overcrowding </w:t>
      </w:r>
      <w:r w:rsidR="005207CA">
        <w:t>complaints</w:t>
      </w:r>
      <w:r w:rsidR="00BD3707">
        <w:t xml:space="preserve">) and </w:t>
      </w:r>
      <w:r w:rsidR="00732865">
        <w:t>forward looking considerations</w:t>
      </w:r>
      <w:r w:rsidR="00A44665">
        <w:t xml:space="preserve"> </w:t>
      </w:r>
      <w:r w:rsidR="008F0B3A">
        <w:t xml:space="preserve">such </w:t>
      </w:r>
      <w:r w:rsidR="005207CA">
        <w:t>as</w:t>
      </w:r>
      <w:r w:rsidR="008F0B3A">
        <w:t xml:space="preserve"> service needs</w:t>
      </w:r>
      <w:r w:rsidR="00BD3707">
        <w:t xml:space="preserve"> in the area </w:t>
      </w:r>
      <w:r w:rsidR="00E62D75">
        <w:t>if</w:t>
      </w:r>
      <w:r w:rsidR="00BD3707">
        <w:t xml:space="preserve"> </w:t>
      </w:r>
      <w:r w:rsidR="00A44665">
        <w:t xml:space="preserve">schools </w:t>
      </w:r>
      <w:r w:rsidR="00E62D75">
        <w:t xml:space="preserve">are </w:t>
      </w:r>
      <w:r w:rsidR="00A44665">
        <w:t>offering years 11 and 12.</w:t>
      </w:r>
    </w:p>
    <w:p w:rsidR="00A44665" w:rsidRDefault="00A44665" w:rsidP="000B3A90">
      <w:pPr>
        <w:ind w:right="142"/>
        <w:jc w:val="both"/>
      </w:pPr>
      <w:r>
        <w:t>All of these factors are considered by the review team and a view is formed on whether there is enough justification to provide advice</w:t>
      </w:r>
      <w:r w:rsidR="00E62D75">
        <w:t>,</w:t>
      </w:r>
      <w:r>
        <w:t xml:space="preserve"> </w:t>
      </w:r>
      <w:r w:rsidR="00BD3707">
        <w:t>at this early stage</w:t>
      </w:r>
      <w:r w:rsidR="00E62D75">
        <w:t>,</w:t>
      </w:r>
      <w:r w:rsidR="00BD3707">
        <w:t xml:space="preserve"> </w:t>
      </w:r>
      <w:r>
        <w:t>that the service will be recontracted, or whether further review and input will be needed before that decision can be made</w:t>
      </w:r>
      <w:r w:rsidR="00BD3707">
        <w:t xml:space="preserve">, and what issues </w:t>
      </w:r>
      <w:r w:rsidR="00E62D75">
        <w:t>have been</w:t>
      </w:r>
      <w:r w:rsidR="00BD3707">
        <w:t xml:space="preserve"> identified.</w:t>
      </w:r>
      <w:r>
        <w:t xml:space="preserve">  </w:t>
      </w:r>
    </w:p>
    <w:p w:rsidR="00CD684A" w:rsidRDefault="00232BA3" w:rsidP="000B3A90">
      <w:pPr>
        <w:ind w:right="142"/>
        <w:jc w:val="both"/>
      </w:pPr>
      <w:r>
        <w:t xml:space="preserve">Around </w:t>
      </w:r>
      <w:r w:rsidR="00BD3707">
        <w:t>fifty percent</w:t>
      </w:r>
      <w:r>
        <w:t xml:space="preserve"> of contracts reviewed </w:t>
      </w:r>
      <w:r w:rsidR="00CD684A">
        <w:t xml:space="preserve">so far </w:t>
      </w:r>
      <w:r w:rsidR="00BD3707">
        <w:t xml:space="preserve">have been identified as </w:t>
      </w:r>
      <w:r>
        <w:t>requir</w:t>
      </w:r>
      <w:r w:rsidR="00BD3707">
        <w:t xml:space="preserve">ing </w:t>
      </w:r>
      <w:r>
        <w:t>further review</w:t>
      </w:r>
      <w:r w:rsidR="00BD3707">
        <w:t xml:space="preserve"> and consultation before a decision can be made.</w:t>
      </w:r>
      <w:r w:rsidR="00E62D75">
        <w:t xml:space="preserve">  </w:t>
      </w:r>
      <w:r w:rsidR="00BD3707">
        <w:t>This further review will involve engaging schools and affected school communities around any proposed changes, as well as discussions with affected operators.</w:t>
      </w:r>
      <w:r w:rsidR="00E62D75">
        <w:t xml:space="preserve">  </w:t>
      </w:r>
    </w:p>
    <w:p w:rsidR="00BD3707" w:rsidRDefault="00E62D75" w:rsidP="000B3A90">
      <w:pPr>
        <w:ind w:right="142"/>
        <w:jc w:val="both"/>
      </w:pPr>
      <w:r>
        <w:t>It is important to note that being identified as requir</w:t>
      </w:r>
      <w:r w:rsidR="00612115">
        <w:t>ing</w:t>
      </w:r>
      <w:r>
        <w:t xml:space="preserve"> further review, simply means that more information is needed before a decision can be made.  It is expected that many services identified for further review will be recontracted.</w:t>
      </w:r>
    </w:p>
    <w:p w:rsidR="00714FEA" w:rsidRDefault="00D41EC9" w:rsidP="00CD684A">
      <w:pPr>
        <w:pStyle w:val="Heading1"/>
        <w:spacing w:after="40"/>
        <w:ind w:right="142"/>
        <w:rPr>
          <w:color w:val="009999"/>
          <w:sz w:val="26"/>
          <w:szCs w:val="26"/>
        </w:rPr>
      </w:pPr>
      <w:r>
        <w:rPr>
          <w:color w:val="009999"/>
          <w:sz w:val="26"/>
          <w:szCs w:val="26"/>
        </w:rPr>
        <w:t xml:space="preserve">Incumbency and </w:t>
      </w:r>
      <w:r w:rsidR="00714FEA" w:rsidRPr="00D526FF">
        <w:rPr>
          <w:color w:val="009999"/>
          <w:sz w:val="26"/>
          <w:szCs w:val="26"/>
        </w:rPr>
        <w:t>Performance</w:t>
      </w:r>
      <w:r w:rsidR="00714FEA">
        <w:rPr>
          <w:color w:val="009999"/>
          <w:sz w:val="26"/>
          <w:szCs w:val="26"/>
        </w:rPr>
        <w:t xml:space="preserve"> </w:t>
      </w:r>
      <w:r w:rsidR="001445FB">
        <w:rPr>
          <w:color w:val="009999"/>
          <w:sz w:val="26"/>
          <w:szCs w:val="26"/>
        </w:rPr>
        <w:t>a</w:t>
      </w:r>
      <w:r w:rsidR="00714FEA">
        <w:rPr>
          <w:color w:val="009999"/>
          <w:sz w:val="26"/>
          <w:szCs w:val="26"/>
        </w:rPr>
        <w:t>ssessment under Project 2018</w:t>
      </w:r>
    </w:p>
    <w:p w:rsidR="00714FEA" w:rsidRDefault="00714FEA" w:rsidP="00D526FF">
      <w:pPr>
        <w:ind w:right="142"/>
        <w:jc w:val="both"/>
      </w:pPr>
      <w:r>
        <w:t>T</w:t>
      </w:r>
      <w:r w:rsidRPr="00714FEA">
        <w:t>he election commitment under which Project 2018 is being delivered stated that offers of contracts would be</w:t>
      </w:r>
      <w:r w:rsidR="00D41EC9">
        <w:t xml:space="preserve"> made to incumbents</w:t>
      </w:r>
      <w:bookmarkStart w:id="0" w:name="_GoBack"/>
      <w:bookmarkEnd w:id="0"/>
      <w:r w:rsidRPr="00714FEA">
        <w:t xml:space="preserve"> “</w:t>
      </w:r>
      <w:r w:rsidRPr="00D526FF">
        <w:rPr>
          <w:i/>
        </w:rPr>
        <w:t>subject to the meeting of key performance conditions</w:t>
      </w:r>
      <w:r w:rsidRPr="00714FEA">
        <w:t>”</w:t>
      </w:r>
      <w:r>
        <w:t xml:space="preserve">.  </w:t>
      </w:r>
    </w:p>
    <w:p w:rsidR="00714FEA" w:rsidRDefault="00714FEA" w:rsidP="00D526FF">
      <w:pPr>
        <w:ind w:right="142"/>
        <w:jc w:val="both"/>
      </w:pPr>
      <w:r>
        <w:t xml:space="preserve">Following a review of various options, and in consultation with </w:t>
      </w:r>
      <w:r w:rsidR="001445FB">
        <w:t xml:space="preserve">the </w:t>
      </w:r>
      <w:r>
        <w:t>Tas</w:t>
      </w:r>
      <w:r w:rsidR="001445FB">
        <w:t xml:space="preserve">manian </w:t>
      </w:r>
      <w:r>
        <w:t>Bus</w:t>
      </w:r>
      <w:r w:rsidR="001445FB">
        <w:t xml:space="preserve"> Association</w:t>
      </w:r>
      <w:r>
        <w:t>, it has been decided that the point scheme, used in 2012 for determining whether the five year extension of current contracts should be granted, will be used to evaluate the meeting of key performance conditions for Project 2018.</w:t>
      </w:r>
    </w:p>
    <w:p w:rsidR="00714FEA" w:rsidRDefault="00714FEA" w:rsidP="00D526FF">
      <w:pPr>
        <w:ind w:right="142"/>
        <w:jc w:val="both"/>
      </w:pPr>
      <w:r>
        <w:t>Under this scheme, any non-compliance incidents recorded since the commencement of the second five year term of current contracts will be converted into points for assessing whether a new contract should be offered.  Under this process:</w:t>
      </w:r>
    </w:p>
    <w:p w:rsidR="00CD684A" w:rsidRDefault="00CD684A" w:rsidP="00CD684A">
      <w:pPr>
        <w:pStyle w:val="ListParagraph"/>
        <w:numPr>
          <w:ilvl w:val="0"/>
          <w:numId w:val="5"/>
        </w:numPr>
        <w:ind w:right="142"/>
        <w:jc w:val="both"/>
      </w:pPr>
      <w:r>
        <w:t xml:space="preserve">Minor </w:t>
      </w:r>
      <w:r w:rsidR="002F0DC8">
        <w:t>n</w:t>
      </w:r>
      <w:r>
        <w:t>on-compliances are converted to 1 point;</w:t>
      </w:r>
    </w:p>
    <w:p w:rsidR="00CD684A" w:rsidRDefault="00CD684A" w:rsidP="00CD684A">
      <w:pPr>
        <w:pStyle w:val="ListParagraph"/>
        <w:numPr>
          <w:ilvl w:val="0"/>
          <w:numId w:val="5"/>
        </w:numPr>
        <w:ind w:right="142"/>
        <w:jc w:val="both"/>
      </w:pPr>
      <w:r>
        <w:t xml:space="preserve">Serious </w:t>
      </w:r>
      <w:r w:rsidR="002F0DC8">
        <w:t>n</w:t>
      </w:r>
      <w:r>
        <w:t>on-compliances are converted to 5 points;</w:t>
      </w:r>
      <w:r w:rsidR="002F0DC8">
        <w:t xml:space="preserve"> and</w:t>
      </w:r>
    </w:p>
    <w:p w:rsidR="00714FEA" w:rsidRDefault="00CD684A" w:rsidP="00CD684A">
      <w:pPr>
        <w:pStyle w:val="ListParagraph"/>
        <w:numPr>
          <w:ilvl w:val="0"/>
          <w:numId w:val="5"/>
        </w:numPr>
        <w:ind w:right="142"/>
        <w:jc w:val="both"/>
      </w:pPr>
      <w:r>
        <w:t xml:space="preserve">Major </w:t>
      </w:r>
      <w:r w:rsidR="002F0DC8">
        <w:t>n</w:t>
      </w:r>
      <w:r>
        <w:t>on-compliances are converted to 10 points.</w:t>
      </w:r>
    </w:p>
    <w:p w:rsidR="00714FEA" w:rsidRDefault="00714FEA" w:rsidP="00D526FF">
      <w:pPr>
        <w:ind w:right="142"/>
        <w:jc w:val="both"/>
      </w:pPr>
      <w:r>
        <w:t xml:space="preserve">The accumulation of 10 or more points </w:t>
      </w:r>
      <w:r w:rsidR="00F91B7D">
        <w:t xml:space="preserve">against a single contract </w:t>
      </w:r>
      <w:r>
        <w:t>from the commencement of the second five year term</w:t>
      </w:r>
      <w:r w:rsidR="0008189B">
        <w:t>,</w:t>
      </w:r>
      <w:r>
        <w:t xml:space="preserve"> will </w:t>
      </w:r>
      <w:r w:rsidR="00F91B7D">
        <w:t>be deemed as failing to meet the key performance conditions for that contact</w:t>
      </w:r>
      <w:r>
        <w:t xml:space="preserve">. </w:t>
      </w:r>
    </w:p>
    <w:p w:rsidR="007D08DA" w:rsidRDefault="007D08DA" w:rsidP="00D526FF">
      <w:pPr>
        <w:ind w:right="142"/>
        <w:jc w:val="both"/>
      </w:pPr>
    </w:p>
    <w:p w:rsidR="00714FEA" w:rsidRDefault="00714FEA" w:rsidP="00D526FF">
      <w:pPr>
        <w:ind w:right="142"/>
        <w:jc w:val="both"/>
      </w:pPr>
      <w:r>
        <w:t xml:space="preserve">It should be noted that, in some situations, the accumulation of non-compliances </w:t>
      </w:r>
      <w:r w:rsidR="0008189B">
        <w:t>that</w:t>
      </w:r>
      <w:r>
        <w:t xml:space="preserve"> equate to 10 or more points could also constitute a basis for ending the current contract, and the Department may choose to pursue this.</w:t>
      </w:r>
    </w:p>
    <w:p w:rsidR="00F91B7D" w:rsidRDefault="00F91B7D" w:rsidP="00D526FF">
      <w:pPr>
        <w:ind w:right="142"/>
        <w:jc w:val="both"/>
      </w:pPr>
      <w:r>
        <w:t>N</w:t>
      </w:r>
      <w:r w:rsidRPr="00F91B7D">
        <w:t xml:space="preserve">on-compliance incidents relating to a particular contract are quarantined to that contract. </w:t>
      </w:r>
      <w:r w:rsidR="0008189B">
        <w:t xml:space="preserve"> </w:t>
      </w:r>
      <w:r w:rsidRPr="00F91B7D">
        <w:t>Accordingly</w:t>
      </w:r>
      <w:r w:rsidR="0008189B">
        <w:t>,</w:t>
      </w:r>
      <w:r w:rsidRPr="00F91B7D">
        <w:t xml:space="preserve"> an operator who accrues 10 or more demerit points in relation to one contract would not be prevented from receiving an offer of a future contract for other services on which fewer demerit points than 10 are accumulated. </w:t>
      </w:r>
      <w:r w:rsidR="0008189B">
        <w:t xml:space="preserve"> </w:t>
      </w:r>
      <w:r w:rsidRPr="00F91B7D">
        <w:t xml:space="preserve">Similarly, an operator who accrues 10 demerit points across multiple contracts would not be ineligible </w:t>
      </w:r>
      <w:r w:rsidR="0008189B">
        <w:t>to be</w:t>
      </w:r>
      <w:r w:rsidRPr="00F91B7D">
        <w:t xml:space="preserve"> </w:t>
      </w:r>
      <w:r w:rsidR="0008189B">
        <w:t>offered</w:t>
      </w:r>
      <w:r w:rsidRPr="00F91B7D">
        <w:t xml:space="preserve"> new contracts</w:t>
      </w:r>
      <w:r w:rsidR="00BC3EEF">
        <w:t>,</w:t>
      </w:r>
      <w:r w:rsidRPr="00F91B7D">
        <w:t xml:space="preserve"> as each </w:t>
      </w:r>
      <w:r w:rsidR="00BC3EEF">
        <w:t xml:space="preserve">particular </w:t>
      </w:r>
      <w:r w:rsidRPr="00F91B7D">
        <w:t>contract would have accumulated fewer than 10 points.</w:t>
      </w:r>
    </w:p>
    <w:p w:rsidR="00F91B7D" w:rsidRDefault="00F91B7D" w:rsidP="00D526FF">
      <w:pPr>
        <w:ind w:right="142"/>
        <w:jc w:val="both"/>
      </w:pPr>
      <w:r>
        <w:t>According to the Department’s records, n</w:t>
      </w:r>
      <w:r w:rsidRPr="00F91B7D">
        <w:t xml:space="preserve">o contracts on which demerit points have been accumulated in the second 5 year term have subsequently been </w:t>
      </w:r>
      <w:r>
        <w:t>novated</w:t>
      </w:r>
      <w:r w:rsidRPr="00F91B7D">
        <w:t xml:space="preserve">. </w:t>
      </w:r>
      <w:r w:rsidR="00BC3EEF">
        <w:t xml:space="preserve"> </w:t>
      </w:r>
      <w:r w:rsidRPr="00F91B7D">
        <w:t xml:space="preserve">Therefore, this proposal would not disadvantage </w:t>
      </w:r>
      <w:r>
        <w:t>anyone who has novated</w:t>
      </w:r>
      <w:r w:rsidRPr="00F91B7D">
        <w:t xml:space="preserve"> a contract</w:t>
      </w:r>
      <w:r>
        <w:t xml:space="preserve">.  </w:t>
      </w:r>
    </w:p>
    <w:p w:rsidR="00714FEA" w:rsidRDefault="00F91B7D" w:rsidP="00D526FF">
      <w:pPr>
        <w:ind w:right="142"/>
        <w:jc w:val="both"/>
      </w:pPr>
      <w:r>
        <w:t xml:space="preserve">The Deed that is about to be sent out has provisions for the Department to notify parties in any future contract novation about this performance evaluation </w:t>
      </w:r>
      <w:r w:rsidR="00BC3EEF">
        <w:t>proces</w:t>
      </w:r>
      <w:r>
        <w:t>s</w:t>
      </w:r>
      <w:r w:rsidR="00BC3EEF">
        <w:t>,</w:t>
      </w:r>
      <w:r>
        <w:t xml:space="preserve"> and any points accumulated against a contract being novated.  It will also</w:t>
      </w:r>
      <w:r w:rsidR="00714FEA">
        <w:t xml:space="preserve"> provide a summary of </w:t>
      </w:r>
      <w:r>
        <w:t>points accumulated against each contract you hold as at a specified date.</w:t>
      </w:r>
    </w:p>
    <w:p w:rsidR="00F91B7D" w:rsidRPr="00BC3EEF" w:rsidRDefault="00F91B7D" w:rsidP="00F0747C">
      <w:pPr>
        <w:ind w:right="142"/>
        <w:rPr>
          <w:color w:val="009999"/>
        </w:rPr>
      </w:pPr>
      <w:r>
        <w:t xml:space="preserve">Operators with any questions about Project 2018 can </w:t>
      </w:r>
      <w:r w:rsidR="00BC3EEF">
        <w:t xml:space="preserve">contact the Project Director, John Dawson, on 6166 3488 or at </w:t>
      </w:r>
      <w:hyperlink r:id="rId8" w:history="1">
        <w:r w:rsidRPr="00954FE5">
          <w:rPr>
            <w:rStyle w:val="Hyperlink"/>
            <w:color w:val="009999"/>
          </w:rPr>
          <w:t>john.dawson@stategrowth.tas.gov.au</w:t>
        </w:r>
      </w:hyperlink>
      <w:r>
        <w:t xml:space="preserve">.  There is also more information available on the project at </w:t>
      </w:r>
      <w:hyperlink r:id="rId9" w:history="1">
        <w:r w:rsidR="00BC3EEF" w:rsidRPr="00BC3EEF">
          <w:rPr>
            <w:rStyle w:val="Hyperlink"/>
            <w:color w:val="009999"/>
          </w:rPr>
          <w:t>www.stategrowth.tas.gov.au/passenger/reviews/bus_service_recontracting_project</w:t>
        </w:r>
      </w:hyperlink>
      <w:r w:rsidRPr="00BC3EEF">
        <w:rPr>
          <w:color w:val="009999"/>
        </w:rPr>
        <w:t xml:space="preserve"> </w:t>
      </w:r>
    </w:p>
    <w:p w:rsidR="00612115" w:rsidRPr="00954FE5" w:rsidRDefault="00612115" w:rsidP="000B3A90">
      <w:pPr>
        <w:pStyle w:val="Heading1"/>
        <w:spacing w:before="360" w:after="120"/>
        <w:ind w:right="142"/>
        <w:jc w:val="both"/>
        <w:rPr>
          <w:color w:val="009999"/>
        </w:rPr>
      </w:pPr>
      <w:r>
        <w:rPr>
          <w:color w:val="009999"/>
        </w:rPr>
        <w:t>Draft Transport Access Strategy</w:t>
      </w:r>
    </w:p>
    <w:p w:rsidR="004B6C67" w:rsidRPr="004B6C67" w:rsidRDefault="004B6C67" w:rsidP="009D00B6">
      <w:pPr>
        <w:spacing w:before="40" w:after="120"/>
        <w:ind w:right="142"/>
        <w:jc w:val="both"/>
      </w:pPr>
      <w:r w:rsidRPr="004B6C67">
        <w:t xml:space="preserve">The draft Transport Access Strategy has now been released for public consultation. </w:t>
      </w:r>
      <w:r w:rsidR="009D00B6">
        <w:t xml:space="preserve"> </w:t>
      </w:r>
      <w:r w:rsidRPr="004B6C67">
        <w:t xml:space="preserve">The draft Strategy sets out </w:t>
      </w:r>
      <w:r>
        <w:t>a</w:t>
      </w:r>
      <w:r w:rsidRPr="004B6C67">
        <w:t xml:space="preserve"> holistic approach to providing better integrated and coordinated passenger transport services for Tasmanians, particularly those disadvantaged through economic circumstances, age or disability.</w:t>
      </w:r>
    </w:p>
    <w:p w:rsidR="004B6C67" w:rsidRPr="004B6C67" w:rsidRDefault="004B6C67" w:rsidP="009D00B6">
      <w:pPr>
        <w:spacing w:before="40" w:after="120"/>
        <w:ind w:right="142"/>
        <w:jc w:val="both"/>
      </w:pPr>
      <w:r w:rsidRPr="004B6C67">
        <w:t>The draft Strategy sets out some initiatives that the Government is already working on to improve transport access and also establishes a framework for future action.</w:t>
      </w:r>
    </w:p>
    <w:p w:rsidR="004B6C67" w:rsidRPr="004B6C67" w:rsidRDefault="004B6C67" w:rsidP="009D00B6">
      <w:pPr>
        <w:spacing w:before="40" w:after="120"/>
        <w:ind w:right="142"/>
        <w:jc w:val="both"/>
        <w:rPr>
          <w:rStyle w:val="Hyperlink"/>
          <w:color w:val="009999"/>
        </w:rPr>
      </w:pPr>
      <w:r>
        <w:rPr>
          <w:rFonts w:eastAsia="Times New Roman"/>
          <w:iCs/>
          <w:color w:val="000000" w:themeColor="text1"/>
        </w:rPr>
        <w:t>You are</w:t>
      </w:r>
      <w:r w:rsidRPr="000F237F">
        <w:rPr>
          <w:rFonts w:eastAsia="Times New Roman"/>
          <w:iCs/>
          <w:color w:val="000000" w:themeColor="text1"/>
        </w:rPr>
        <w:t xml:space="preserve"> invited to comment on the draft Strategy </w:t>
      </w:r>
      <w:r>
        <w:rPr>
          <w:rFonts w:eastAsia="Times New Roman"/>
          <w:iCs/>
          <w:color w:val="000000" w:themeColor="text1"/>
        </w:rPr>
        <w:t>on or before</w:t>
      </w:r>
      <w:r w:rsidRPr="000F237F">
        <w:rPr>
          <w:rFonts w:eastAsia="Times New Roman"/>
          <w:iCs/>
          <w:color w:val="000000" w:themeColor="text1"/>
        </w:rPr>
        <w:t xml:space="preserve"> </w:t>
      </w:r>
      <w:r>
        <w:rPr>
          <w:rFonts w:eastAsia="Times New Roman"/>
          <w:iCs/>
          <w:color w:val="000000" w:themeColor="text1"/>
        </w:rPr>
        <w:t xml:space="preserve">9 September 2016. </w:t>
      </w:r>
      <w:r w:rsidR="009D00B6">
        <w:rPr>
          <w:rFonts w:eastAsia="Times New Roman"/>
          <w:iCs/>
          <w:color w:val="000000" w:themeColor="text1"/>
        </w:rPr>
        <w:t xml:space="preserve"> </w:t>
      </w:r>
      <w:r>
        <w:rPr>
          <w:rFonts w:eastAsia="Times New Roman"/>
          <w:iCs/>
          <w:color w:val="000000" w:themeColor="text1"/>
        </w:rPr>
        <w:t xml:space="preserve">The draft Strategy </w:t>
      </w:r>
      <w:r w:rsidRPr="000F237F">
        <w:rPr>
          <w:rFonts w:eastAsia="Times New Roman"/>
          <w:iCs/>
          <w:color w:val="000000" w:themeColor="text1"/>
        </w:rPr>
        <w:t xml:space="preserve">can be found at </w:t>
      </w:r>
      <w:hyperlink r:id="rId10" w:history="1">
        <w:r w:rsidRPr="004B6C67">
          <w:rPr>
            <w:rStyle w:val="Hyperlink"/>
            <w:color w:val="009999"/>
          </w:rPr>
          <w:t>www.stategrowth.tas.gov.au/passenger/transport_access_strategy</w:t>
        </w:r>
      </w:hyperlink>
    </w:p>
    <w:p w:rsidR="001445FB" w:rsidRPr="00954FE5" w:rsidRDefault="001445FB" w:rsidP="001445FB">
      <w:pPr>
        <w:pStyle w:val="Heading1"/>
        <w:spacing w:before="360" w:after="120"/>
        <w:ind w:right="142"/>
        <w:jc w:val="both"/>
        <w:rPr>
          <w:color w:val="009999"/>
          <w:lang w:val="en-GB"/>
        </w:rPr>
      </w:pPr>
      <w:r w:rsidRPr="00954FE5">
        <w:rPr>
          <w:color w:val="009999"/>
          <w:lang w:val="en-GB"/>
        </w:rPr>
        <w:t>Staff update</w:t>
      </w:r>
    </w:p>
    <w:p w:rsidR="001445FB" w:rsidRPr="006E7989" w:rsidRDefault="001445FB" w:rsidP="001445FB">
      <w:pPr>
        <w:ind w:right="142"/>
        <w:jc w:val="both"/>
        <w:rPr>
          <w:lang w:val="en-GB"/>
        </w:rPr>
      </w:pPr>
      <w:r>
        <w:rPr>
          <w:lang w:val="en-GB"/>
        </w:rPr>
        <w:t xml:space="preserve">Andrew Mullen has </w:t>
      </w:r>
      <w:r w:rsidR="009D4194">
        <w:rPr>
          <w:lang w:val="en-GB"/>
        </w:rPr>
        <w:t xml:space="preserve">now </w:t>
      </w:r>
      <w:r>
        <w:rPr>
          <w:lang w:val="en-GB"/>
        </w:rPr>
        <w:t xml:space="preserve">moved on from his role as Manager of the Contracts area to help out with Project 2018, effective Thursday 7 July 2016.  After a comprehensive recruitment process, the successful candidate as Andrew’s replacement for the next 12 months, is Nicole Trounce.  Nicole will be starting with us on Monday 18 July 2016.  </w:t>
      </w:r>
    </w:p>
    <w:p w:rsidR="009D00B6" w:rsidRPr="00D526FF" w:rsidRDefault="009D00B6" w:rsidP="00D526FF">
      <w:pPr>
        <w:pStyle w:val="Heading1"/>
        <w:spacing w:before="360" w:after="120"/>
        <w:ind w:right="142"/>
        <w:jc w:val="both"/>
        <w:rPr>
          <w:color w:val="009999"/>
        </w:rPr>
      </w:pPr>
      <w:r w:rsidRPr="00D526FF">
        <w:rPr>
          <w:color w:val="009999"/>
        </w:rPr>
        <w:t>Electronic claiming</w:t>
      </w:r>
    </w:p>
    <w:p w:rsidR="009D00B6" w:rsidRDefault="009D00B6" w:rsidP="000B3A90">
      <w:pPr>
        <w:ind w:right="142"/>
        <w:rPr>
          <w:lang w:val="en-GB"/>
        </w:rPr>
      </w:pPr>
      <w:r>
        <w:rPr>
          <w:lang w:val="en-GB"/>
        </w:rPr>
        <w:t>Where possible</w:t>
      </w:r>
      <w:r w:rsidR="000F316C">
        <w:rPr>
          <w:lang w:val="en-GB"/>
        </w:rPr>
        <w:t xml:space="preserve"> fare-paying</w:t>
      </w:r>
      <w:r>
        <w:rPr>
          <w:lang w:val="en-GB"/>
        </w:rPr>
        <w:t xml:space="preserve"> operators are </w:t>
      </w:r>
      <w:r w:rsidR="00585D44">
        <w:rPr>
          <w:lang w:val="en-GB"/>
        </w:rPr>
        <w:t xml:space="preserve">strongly </w:t>
      </w:r>
      <w:r>
        <w:rPr>
          <w:lang w:val="en-GB"/>
        </w:rPr>
        <w:t xml:space="preserve">encouraged to submit </w:t>
      </w:r>
      <w:r w:rsidR="00585D44">
        <w:rPr>
          <w:lang w:val="en-GB"/>
        </w:rPr>
        <w:t>your</w:t>
      </w:r>
      <w:r w:rsidR="000F316C">
        <w:rPr>
          <w:lang w:val="en-GB"/>
        </w:rPr>
        <w:t xml:space="preserve"> </w:t>
      </w:r>
      <w:r>
        <w:rPr>
          <w:lang w:val="en-GB"/>
        </w:rPr>
        <w:t xml:space="preserve">Monthly Statistical Report electronically </w:t>
      </w:r>
      <w:proofErr w:type="spellStart"/>
      <w:r>
        <w:rPr>
          <w:lang w:val="en-GB"/>
        </w:rPr>
        <w:t>ie</w:t>
      </w:r>
      <w:proofErr w:type="spellEnd"/>
      <w:r>
        <w:rPr>
          <w:lang w:val="en-GB"/>
        </w:rPr>
        <w:t xml:space="preserve">; via email, to avoid missing the payment deadline and allow for a ‘paper trail’ should </w:t>
      </w:r>
      <w:r w:rsidR="000F316C">
        <w:rPr>
          <w:lang w:val="en-GB"/>
        </w:rPr>
        <w:t>a claim be sent but not received</w:t>
      </w:r>
      <w:r w:rsidR="007C0427">
        <w:rPr>
          <w:lang w:val="en-GB"/>
        </w:rPr>
        <w:t>.</w:t>
      </w:r>
    </w:p>
    <w:p w:rsidR="009D00B6" w:rsidRDefault="005C6047" w:rsidP="000B3A90">
      <w:pPr>
        <w:ind w:right="142"/>
        <w:rPr>
          <w:lang w:val="en-GB"/>
        </w:rPr>
      </w:pPr>
      <w:r>
        <w:rPr>
          <w:lang w:val="en-GB"/>
        </w:rPr>
        <w:t xml:space="preserve">Enabling your business to operate ‘online’ will </w:t>
      </w:r>
      <w:r w:rsidR="009D00B6">
        <w:rPr>
          <w:lang w:val="en-GB"/>
        </w:rPr>
        <w:t>be timely preparation in anticipation of an online claiming system</w:t>
      </w:r>
      <w:r>
        <w:rPr>
          <w:lang w:val="en-GB"/>
        </w:rPr>
        <w:t xml:space="preserve"> which the Department will be implementing in the near future</w:t>
      </w:r>
      <w:r w:rsidR="009D00B6">
        <w:rPr>
          <w:lang w:val="en-GB"/>
        </w:rPr>
        <w:t>.</w:t>
      </w:r>
    </w:p>
    <w:p w:rsidR="007C0427" w:rsidRDefault="007C0427" w:rsidP="000B3A90">
      <w:pPr>
        <w:ind w:right="142"/>
        <w:rPr>
          <w:lang w:val="en-GB"/>
        </w:rPr>
      </w:pPr>
      <w:r>
        <w:rPr>
          <w:lang w:val="en-GB"/>
        </w:rPr>
        <w:t>Monthly Statistical Reports should be emailed direct</w:t>
      </w:r>
      <w:r w:rsidR="00FA399A">
        <w:rPr>
          <w:lang w:val="en-GB"/>
        </w:rPr>
        <w:t>ly</w:t>
      </w:r>
      <w:r>
        <w:rPr>
          <w:lang w:val="en-GB"/>
        </w:rPr>
        <w:t xml:space="preserve"> to the Contracts area at </w:t>
      </w:r>
      <w:hyperlink r:id="rId11" w:history="1">
        <w:r w:rsidRPr="007C0427">
          <w:rPr>
            <w:rStyle w:val="Hyperlink"/>
            <w:color w:val="009999"/>
            <w:lang w:val="en-GB"/>
          </w:rPr>
          <w:t>ptscontracts@stategrowth.tas.gov.au</w:t>
        </w:r>
      </w:hyperlink>
      <w:r w:rsidRPr="007C0427">
        <w:rPr>
          <w:color w:val="009999"/>
          <w:lang w:val="en-GB"/>
        </w:rPr>
        <w:t xml:space="preserve"> </w:t>
      </w:r>
    </w:p>
    <w:p w:rsidR="009D00B6" w:rsidRDefault="004754F9" w:rsidP="000B3A90">
      <w:pPr>
        <w:ind w:right="142"/>
        <w:rPr>
          <w:lang w:val="en-GB"/>
        </w:rPr>
      </w:pPr>
      <w:r>
        <w:rPr>
          <w:lang w:val="en-GB"/>
        </w:rPr>
        <w:t>Please be advised, i</w:t>
      </w:r>
      <w:r w:rsidR="009D00B6">
        <w:rPr>
          <w:lang w:val="en-GB"/>
        </w:rPr>
        <w:t xml:space="preserve">f </w:t>
      </w:r>
      <w:r>
        <w:rPr>
          <w:lang w:val="en-GB"/>
        </w:rPr>
        <w:t xml:space="preserve">your </w:t>
      </w:r>
      <w:r w:rsidR="007C0427">
        <w:rPr>
          <w:lang w:val="en-GB"/>
        </w:rPr>
        <w:t>claim</w:t>
      </w:r>
      <w:r>
        <w:rPr>
          <w:lang w:val="en-GB"/>
        </w:rPr>
        <w:t xml:space="preserve"> is not received by the Department within 5 business days from the start of</w:t>
      </w:r>
      <w:r w:rsidR="009D00B6">
        <w:rPr>
          <w:lang w:val="en-GB"/>
        </w:rPr>
        <w:t xml:space="preserve"> the month, your payment </w:t>
      </w:r>
      <w:r w:rsidR="009D00B6" w:rsidRPr="004754F9">
        <w:rPr>
          <w:lang w:val="en-GB"/>
        </w:rPr>
        <w:t>will not</w:t>
      </w:r>
      <w:r w:rsidR="009D00B6">
        <w:rPr>
          <w:lang w:val="en-GB"/>
        </w:rPr>
        <w:t xml:space="preserve"> be processed until the following month.</w:t>
      </w:r>
    </w:p>
    <w:p w:rsidR="007C0427" w:rsidRDefault="007C0427" w:rsidP="000B3A90">
      <w:pPr>
        <w:ind w:right="142"/>
        <w:rPr>
          <w:lang w:val="en-GB"/>
        </w:rPr>
      </w:pPr>
    </w:p>
    <w:p w:rsidR="007C0427" w:rsidRDefault="007C0427" w:rsidP="000B3A90">
      <w:pPr>
        <w:ind w:right="142"/>
        <w:rPr>
          <w:lang w:val="en-GB"/>
        </w:rPr>
      </w:pPr>
    </w:p>
    <w:p w:rsidR="007C0427" w:rsidRPr="009D00B6" w:rsidRDefault="007C0427" w:rsidP="000B3A90">
      <w:pPr>
        <w:ind w:right="142"/>
        <w:rPr>
          <w:lang w:val="en-GB"/>
        </w:rPr>
      </w:pPr>
    </w:p>
    <w:p w:rsidR="001445FB" w:rsidRPr="00954FE5" w:rsidRDefault="001445FB" w:rsidP="001445FB">
      <w:pPr>
        <w:pStyle w:val="Heading1"/>
        <w:spacing w:before="360" w:after="120"/>
        <w:ind w:right="142"/>
        <w:jc w:val="both"/>
        <w:rPr>
          <w:color w:val="009999"/>
          <w:lang w:val="en-GB"/>
        </w:rPr>
      </w:pPr>
      <w:r w:rsidRPr="00954FE5">
        <w:rPr>
          <w:color w:val="009999"/>
          <w:lang w:val="en-GB"/>
        </w:rPr>
        <w:t>Bus cost model index (BCMI)</w:t>
      </w:r>
    </w:p>
    <w:p w:rsidR="001445FB" w:rsidRDefault="001445FB" w:rsidP="00CB40F2">
      <w:pPr>
        <w:ind w:right="142"/>
        <w:jc w:val="both"/>
        <w:rPr>
          <w:lang w:val="en-GB"/>
        </w:rPr>
      </w:pPr>
      <w:r w:rsidRPr="00555E87">
        <w:rPr>
          <w:lang w:val="en-GB"/>
        </w:rPr>
        <w:t xml:space="preserve">The BCMI has been calculated for </w:t>
      </w:r>
      <w:r w:rsidRPr="00954FE5">
        <w:rPr>
          <w:color w:val="009999"/>
          <w:lang w:val="en-GB"/>
        </w:rPr>
        <w:t xml:space="preserve">July 2016 </w:t>
      </w:r>
      <w:r>
        <w:rPr>
          <w:lang w:val="en-GB"/>
        </w:rPr>
        <w:t>and is 118.6</w:t>
      </w:r>
    </w:p>
    <w:p w:rsidR="00EF0882" w:rsidRPr="00954FE5" w:rsidRDefault="00555E87" w:rsidP="00CB40F2">
      <w:pPr>
        <w:keepNext/>
        <w:spacing w:before="360" w:after="120"/>
        <w:ind w:right="142"/>
        <w:rPr>
          <w:color w:val="009999"/>
          <w:sz w:val="36"/>
          <w:highlight w:val="yellow"/>
          <w:lang w:val="en-GB"/>
        </w:rPr>
      </w:pPr>
      <w:r w:rsidRPr="00954FE5">
        <w:rPr>
          <w:color w:val="009999"/>
          <w:sz w:val="36"/>
          <w:lang w:val="en-GB"/>
        </w:rPr>
        <w:t>Capital rates</w:t>
      </w:r>
    </w:p>
    <w:p w:rsidR="00EF0882" w:rsidRPr="00555E87" w:rsidRDefault="00EF0882" w:rsidP="000B3A90">
      <w:pPr>
        <w:ind w:right="142"/>
        <w:jc w:val="both"/>
        <w:rPr>
          <w:lang w:val="en-GB"/>
        </w:rPr>
      </w:pPr>
      <w:r w:rsidRPr="00555E87">
        <w:rPr>
          <w:lang w:val="en-GB"/>
        </w:rPr>
        <w:t xml:space="preserve">The Capital Payment rates have been calculated for the quarter commencing </w:t>
      </w:r>
      <w:r w:rsidR="00555E87" w:rsidRPr="00954FE5">
        <w:rPr>
          <w:color w:val="009999"/>
          <w:lang w:val="en-GB"/>
        </w:rPr>
        <w:t>July</w:t>
      </w:r>
      <w:r w:rsidRPr="00954FE5">
        <w:rPr>
          <w:color w:val="009999"/>
          <w:lang w:val="en-GB"/>
        </w:rPr>
        <w:t xml:space="preserve"> 2016</w:t>
      </w:r>
      <w:r w:rsidRPr="00555E87">
        <w:rPr>
          <w:lang w:val="en-GB"/>
        </w:rPr>
        <w:t>.  Please consider these rates before making changes to your contract.</w:t>
      </w:r>
    </w:p>
    <w:p w:rsidR="00EF0882" w:rsidRPr="00555E87" w:rsidRDefault="00EF0882" w:rsidP="000B3A90">
      <w:pPr>
        <w:spacing w:after="0"/>
        <w:ind w:right="142"/>
        <w:jc w:val="both"/>
        <w:rPr>
          <w:lang w:val="en-GB"/>
        </w:rPr>
      </w:pPr>
      <w:r w:rsidRPr="00555E87">
        <w:rPr>
          <w:lang w:val="en-GB"/>
        </w:rPr>
        <w:t>For all fare-paying operators, the rates applicable to your monthly contract payment can be found on your Statement of Payment.</w:t>
      </w:r>
    </w:p>
    <w:tbl>
      <w:tblPr>
        <w:tblStyle w:val="ListTable1Light"/>
        <w:tblpPr w:leftFromText="180" w:rightFromText="180" w:vertAnchor="text" w:horzAnchor="page" w:tblpX="1726"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gridCol w:w="1701"/>
      </w:tblGrid>
      <w:tr w:rsidR="00954FE5" w:rsidRPr="00781905" w:rsidTr="00954FE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tcPr>
          <w:p w:rsidR="00954FE5" w:rsidRPr="001A4B73" w:rsidRDefault="001A4B73" w:rsidP="000B3A90">
            <w:pPr>
              <w:ind w:right="142"/>
              <w:rPr>
                <w:b w:val="0"/>
                <w:color w:val="009999"/>
                <w:sz w:val="24"/>
                <w:lang w:val="en-GB"/>
              </w:rPr>
            </w:pPr>
            <w:r>
              <w:rPr>
                <w:b w:val="0"/>
                <w:color w:val="009999"/>
                <w:sz w:val="24"/>
                <w:lang w:val="en-GB"/>
              </w:rPr>
              <w:t>Contract Type</w:t>
            </w:r>
          </w:p>
        </w:tc>
        <w:tc>
          <w:tcPr>
            <w:tcW w:w="1701" w:type="dxa"/>
            <w:vAlign w:val="center"/>
          </w:tcPr>
          <w:p w:rsidR="00954FE5" w:rsidRPr="001A4B73" w:rsidRDefault="00954FE5" w:rsidP="000B3A90">
            <w:pPr>
              <w:ind w:right="142"/>
              <w:cnfStyle w:val="100000000000" w:firstRow="1" w:lastRow="0" w:firstColumn="0" w:lastColumn="0" w:oddVBand="0" w:evenVBand="0" w:oddHBand="0" w:evenHBand="0" w:firstRowFirstColumn="0" w:firstRowLastColumn="0" w:lastRowFirstColumn="0" w:lastRowLastColumn="0"/>
              <w:rPr>
                <w:b w:val="0"/>
                <w:color w:val="009999"/>
                <w:sz w:val="24"/>
                <w:lang w:val="en-GB"/>
              </w:rPr>
            </w:pPr>
            <w:r w:rsidRPr="001A4B73">
              <w:rPr>
                <w:b w:val="0"/>
                <w:color w:val="009999"/>
                <w:sz w:val="24"/>
                <w:lang w:val="en-GB"/>
              </w:rPr>
              <w:t>A</w:t>
            </w:r>
            <w:r w:rsidR="001A4B73">
              <w:rPr>
                <w:b w:val="0"/>
                <w:color w:val="009999"/>
                <w:sz w:val="24"/>
                <w:lang w:val="en-GB"/>
              </w:rPr>
              <w:t>pril</w:t>
            </w:r>
            <w:r w:rsidRPr="001A4B73">
              <w:rPr>
                <w:b w:val="0"/>
                <w:color w:val="009999"/>
                <w:sz w:val="24"/>
                <w:lang w:val="en-GB"/>
              </w:rPr>
              <w:t xml:space="preserve"> 2016</w:t>
            </w:r>
          </w:p>
        </w:tc>
        <w:tc>
          <w:tcPr>
            <w:tcW w:w="1701" w:type="dxa"/>
            <w:vAlign w:val="center"/>
          </w:tcPr>
          <w:p w:rsidR="00954FE5" w:rsidRPr="001A4B73" w:rsidRDefault="00954FE5" w:rsidP="000B3A90">
            <w:pPr>
              <w:ind w:right="142"/>
              <w:cnfStyle w:val="100000000000" w:firstRow="1" w:lastRow="0" w:firstColumn="0" w:lastColumn="0" w:oddVBand="0" w:evenVBand="0" w:oddHBand="0" w:evenHBand="0" w:firstRowFirstColumn="0" w:firstRowLastColumn="0" w:lastRowFirstColumn="0" w:lastRowLastColumn="0"/>
              <w:rPr>
                <w:b w:val="0"/>
                <w:color w:val="009999"/>
                <w:sz w:val="24"/>
                <w:lang w:val="en-GB"/>
              </w:rPr>
            </w:pPr>
            <w:r w:rsidRPr="001A4B73">
              <w:rPr>
                <w:b w:val="0"/>
                <w:color w:val="009999"/>
                <w:sz w:val="24"/>
                <w:lang w:val="en-GB"/>
              </w:rPr>
              <w:t>J</w:t>
            </w:r>
            <w:r w:rsidR="001A4B73">
              <w:rPr>
                <w:b w:val="0"/>
                <w:color w:val="009999"/>
                <w:sz w:val="24"/>
                <w:lang w:val="en-GB"/>
              </w:rPr>
              <w:t>uly</w:t>
            </w:r>
            <w:r w:rsidRPr="001A4B73">
              <w:rPr>
                <w:b w:val="0"/>
                <w:color w:val="009999"/>
                <w:sz w:val="24"/>
                <w:lang w:val="en-GB"/>
              </w:rPr>
              <w:t xml:space="preserve"> 2016</w:t>
            </w:r>
          </w:p>
        </w:tc>
      </w:tr>
      <w:tr w:rsidR="00DA25E5" w:rsidRPr="00555E87" w:rsidTr="006772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shd w:val="clear" w:color="auto" w:fill="BDD6EE" w:themeFill="accent1" w:themeFillTint="66"/>
            <w:vAlign w:val="center"/>
          </w:tcPr>
          <w:p w:rsidR="00DA25E5" w:rsidRPr="00555E87" w:rsidRDefault="00DA25E5" w:rsidP="00DA25E5">
            <w:pPr>
              <w:ind w:right="142"/>
              <w:rPr>
                <w:b w:val="0"/>
                <w:lang w:val="en-GB"/>
              </w:rPr>
            </w:pPr>
            <w:r w:rsidRPr="00555E87">
              <w:rPr>
                <w:b w:val="0"/>
                <w:lang w:val="en-GB"/>
              </w:rPr>
              <w:t>Urban Fringe Student Only</w:t>
            </w:r>
          </w:p>
        </w:tc>
        <w:tc>
          <w:tcPr>
            <w:tcW w:w="1701" w:type="dxa"/>
            <w:shd w:val="clear" w:color="auto" w:fill="BDD6EE" w:themeFill="accent1" w:themeFillTint="66"/>
            <w:vAlign w:val="center"/>
          </w:tcPr>
          <w:p w:rsidR="00DA25E5" w:rsidRPr="00555E87" w:rsidRDefault="00DA25E5" w:rsidP="00DA25E5">
            <w:pPr>
              <w:ind w:right="142"/>
              <w:cnfStyle w:val="000000100000" w:firstRow="0" w:lastRow="0" w:firstColumn="0" w:lastColumn="0" w:oddVBand="0" w:evenVBand="0" w:oddHBand="1" w:evenHBand="0" w:firstRowFirstColumn="0" w:firstRowLastColumn="0" w:lastRowFirstColumn="0" w:lastRowLastColumn="0"/>
              <w:rPr>
                <w:lang w:val="en-GB"/>
              </w:rPr>
            </w:pPr>
            <w:r w:rsidRPr="00555E87">
              <w:rPr>
                <w:lang w:val="en-GB"/>
              </w:rPr>
              <w:t>$1.70</w:t>
            </w:r>
          </w:p>
        </w:tc>
        <w:tc>
          <w:tcPr>
            <w:tcW w:w="1701" w:type="dxa"/>
            <w:tcBorders>
              <w:top w:val="single" w:sz="4" w:space="0" w:color="auto"/>
              <w:left w:val="single" w:sz="4" w:space="0" w:color="auto"/>
              <w:right w:val="single" w:sz="4" w:space="0" w:color="auto"/>
            </w:tcBorders>
            <w:shd w:val="clear" w:color="auto" w:fill="BDD6EE" w:themeFill="accent1" w:themeFillTint="66"/>
            <w:vAlign w:val="center"/>
          </w:tcPr>
          <w:p w:rsidR="00DA25E5" w:rsidRDefault="00DA25E5" w:rsidP="00DA25E5">
            <w:pPr>
              <w:ind w:right="142"/>
              <w:cnfStyle w:val="000000100000" w:firstRow="0" w:lastRow="0" w:firstColumn="0" w:lastColumn="0" w:oddVBand="0" w:evenVBand="0" w:oddHBand="1" w:evenHBand="0" w:firstRowFirstColumn="0" w:firstRowLastColumn="0" w:lastRowFirstColumn="0" w:lastRowLastColumn="0"/>
              <w:rPr>
                <w:lang w:val="en-GB"/>
              </w:rPr>
            </w:pPr>
            <w:r>
              <w:rPr>
                <w:lang w:val="en-GB"/>
              </w:rPr>
              <w:t>$1.72</w:t>
            </w:r>
          </w:p>
        </w:tc>
      </w:tr>
      <w:tr w:rsidR="00DA25E5" w:rsidRPr="00555E87" w:rsidTr="00677252">
        <w:trPr>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tcPr>
          <w:p w:rsidR="00DA25E5" w:rsidRPr="00555E87" w:rsidRDefault="00DA25E5" w:rsidP="00DA25E5">
            <w:pPr>
              <w:ind w:right="142"/>
              <w:rPr>
                <w:b w:val="0"/>
                <w:i/>
                <w:lang w:val="en-GB"/>
              </w:rPr>
            </w:pPr>
            <w:r w:rsidRPr="00555E87">
              <w:rPr>
                <w:b w:val="0"/>
                <w:lang w:val="en-GB"/>
              </w:rPr>
              <w:t>Rural Fare Paying</w:t>
            </w:r>
          </w:p>
        </w:tc>
        <w:tc>
          <w:tcPr>
            <w:tcW w:w="1701" w:type="dxa"/>
            <w:vAlign w:val="center"/>
          </w:tcPr>
          <w:p w:rsidR="00DA25E5" w:rsidRPr="00555E87" w:rsidRDefault="00DA25E5" w:rsidP="00DA25E5">
            <w:pPr>
              <w:ind w:right="142"/>
              <w:cnfStyle w:val="000000000000" w:firstRow="0" w:lastRow="0" w:firstColumn="0" w:lastColumn="0" w:oddVBand="0" w:evenVBand="0" w:oddHBand="0" w:evenHBand="0" w:firstRowFirstColumn="0" w:firstRowLastColumn="0" w:lastRowFirstColumn="0" w:lastRowLastColumn="0"/>
              <w:rPr>
                <w:lang w:val="en-GB"/>
              </w:rPr>
            </w:pPr>
            <w:r w:rsidRPr="00555E87">
              <w:rPr>
                <w:lang w:val="en-GB"/>
              </w:rPr>
              <w:t>$1.70</w:t>
            </w:r>
          </w:p>
        </w:tc>
        <w:tc>
          <w:tcPr>
            <w:tcW w:w="1701" w:type="dxa"/>
            <w:tcBorders>
              <w:top w:val="single" w:sz="4" w:space="0" w:color="auto"/>
              <w:left w:val="single" w:sz="4" w:space="0" w:color="auto"/>
              <w:bottom w:val="single" w:sz="4" w:space="0" w:color="auto"/>
              <w:right w:val="single" w:sz="4" w:space="0" w:color="auto"/>
            </w:tcBorders>
            <w:vAlign w:val="center"/>
          </w:tcPr>
          <w:p w:rsidR="00DA25E5" w:rsidRDefault="00DA25E5" w:rsidP="00DA25E5">
            <w:pPr>
              <w:ind w:right="142"/>
              <w:cnfStyle w:val="000000000000" w:firstRow="0" w:lastRow="0" w:firstColumn="0" w:lastColumn="0" w:oddVBand="0" w:evenVBand="0" w:oddHBand="0" w:evenHBand="0" w:firstRowFirstColumn="0" w:firstRowLastColumn="0" w:lastRowFirstColumn="0" w:lastRowLastColumn="0"/>
              <w:rPr>
                <w:lang w:val="en-GB"/>
              </w:rPr>
            </w:pPr>
            <w:r>
              <w:rPr>
                <w:lang w:val="en-GB"/>
              </w:rPr>
              <w:t>$1.72</w:t>
            </w:r>
          </w:p>
        </w:tc>
      </w:tr>
      <w:tr w:rsidR="00DA25E5" w:rsidRPr="00555E87" w:rsidTr="006772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shd w:val="clear" w:color="auto" w:fill="BDD6EE" w:themeFill="accent1" w:themeFillTint="66"/>
            <w:vAlign w:val="center"/>
          </w:tcPr>
          <w:p w:rsidR="00DA25E5" w:rsidRPr="00555E87" w:rsidRDefault="00DA25E5" w:rsidP="00DA25E5">
            <w:pPr>
              <w:ind w:right="142"/>
              <w:rPr>
                <w:b w:val="0"/>
                <w:lang w:val="en-GB"/>
              </w:rPr>
            </w:pPr>
            <w:r w:rsidRPr="00555E87">
              <w:rPr>
                <w:b w:val="0"/>
                <w:lang w:val="en-GB"/>
              </w:rPr>
              <w:t>Long Distance Student Only</w:t>
            </w:r>
          </w:p>
        </w:tc>
        <w:tc>
          <w:tcPr>
            <w:tcW w:w="1701" w:type="dxa"/>
            <w:shd w:val="clear" w:color="auto" w:fill="BDD6EE" w:themeFill="accent1" w:themeFillTint="66"/>
            <w:vAlign w:val="center"/>
          </w:tcPr>
          <w:p w:rsidR="00DA25E5" w:rsidRPr="00555E87" w:rsidRDefault="00DA25E5" w:rsidP="00DA25E5">
            <w:pPr>
              <w:ind w:right="142"/>
              <w:cnfStyle w:val="000000100000" w:firstRow="0" w:lastRow="0" w:firstColumn="0" w:lastColumn="0" w:oddVBand="0" w:evenVBand="0" w:oddHBand="1" w:evenHBand="0" w:firstRowFirstColumn="0" w:firstRowLastColumn="0" w:lastRowFirstColumn="0" w:lastRowLastColumn="0"/>
              <w:rPr>
                <w:lang w:val="en-GB"/>
              </w:rPr>
            </w:pPr>
            <w:r w:rsidRPr="00555E87">
              <w:rPr>
                <w:lang w:val="en-GB"/>
              </w:rPr>
              <w:t>$1.70</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A25E5" w:rsidRDefault="00DA25E5" w:rsidP="00DA25E5">
            <w:pPr>
              <w:ind w:right="142"/>
              <w:cnfStyle w:val="000000100000" w:firstRow="0" w:lastRow="0" w:firstColumn="0" w:lastColumn="0" w:oddVBand="0" w:evenVBand="0" w:oddHBand="1" w:evenHBand="0" w:firstRowFirstColumn="0" w:firstRowLastColumn="0" w:lastRowFirstColumn="0" w:lastRowLastColumn="0"/>
              <w:rPr>
                <w:lang w:val="en-GB"/>
              </w:rPr>
            </w:pPr>
            <w:r>
              <w:rPr>
                <w:lang w:val="en-GB"/>
              </w:rPr>
              <w:t>$1.72</w:t>
            </w:r>
          </w:p>
        </w:tc>
      </w:tr>
      <w:tr w:rsidR="00DA25E5" w:rsidRPr="00555E87" w:rsidTr="00677252">
        <w:trPr>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tcPr>
          <w:p w:rsidR="00DA25E5" w:rsidRPr="00555E87" w:rsidRDefault="00DA25E5" w:rsidP="00DA25E5">
            <w:pPr>
              <w:ind w:right="142"/>
              <w:rPr>
                <w:b w:val="0"/>
                <w:lang w:val="en-GB"/>
              </w:rPr>
            </w:pPr>
            <w:r w:rsidRPr="00555E87">
              <w:rPr>
                <w:b w:val="0"/>
                <w:lang w:val="en-GB"/>
              </w:rPr>
              <w:t>Long Distance General Access</w:t>
            </w:r>
          </w:p>
        </w:tc>
        <w:tc>
          <w:tcPr>
            <w:tcW w:w="1701" w:type="dxa"/>
            <w:vAlign w:val="center"/>
          </w:tcPr>
          <w:p w:rsidR="00DA25E5" w:rsidRPr="00555E87" w:rsidRDefault="00DA25E5" w:rsidP="00DA25E5">
            <w:pPr>
              <w:ind w:right="142"/>
              <w:cnfStyle w:val="000000000000" w:firstRow="0" w:lastRow="0" w:firstColumn="0" w:lastColumn="0" w:oddVBand="0" w:evenVBand="0" w:oddHBand="0" w:evenHBand="0" w:firstRowFirstColumn="0" w:firstRowLastColumn="0" w:lastRowFirstColumn="0" w:lastRowLastColumn="0"/>
              <w:rPr>
                <w:lang w:val="en-GB"/>
              </w:rPr>
            </w:pPr>
            <w:r w:rsidRPr="00555E87">
              <w:rPr>
                <w:lang w:val="en-GB"/>
              </w:rPr>
              <w:t>$3.16</w:t>
            </w:r>
          </w:p>
        </w:tc>
        <w:tc>
          <w:tcPr>
            <w:tcW w:w="1701" w:type="dxa"/>
            <w:tcBorders>
              <w:top w:val="single" w:sz="4" w:space="0" w:color="auto"/>
              <w:left w:val="single" w:sz="4" w:space="0" w:color="auto"/>
              <w:bottom w:val="single" w:sz="4" w:space="0" w:color="auto"/>
              <w:right w:val="single" w:sz="4" w:space="0" w:color="auto"/>
            </w:tcBorders>
            <w:vAlign w:val="center"/>
          </w:tcPr>
          <w:p w:rsidR="00DA25E5" w:rsidRDefault="00DA25E5" w:rsidP="00E47EF8">
            <w:pPr>
              <w:ind w:right="142"/>
              <w:cnfStyle w:val="000000000000" w:firstRow="0" w:lastRow="0" w:firstColumn="0" w:lastColumn="0" w:oddVBand="0" w:evenVBand="0" w:oddHBand="0" w:evenHBand="0" w:firstRowFirstColumn="0" w:firstRowLastColumn="0" w:lastRowFirstColumn="0" w:lastRowLastColumn="0"/>
              <w:rPr>
                <w:lang w:val="en-GB"/>
              </w:rPr>
            </w:pPr>
            <w:r>
              <w:rPr>
                <w:lang w:val="en-GB"/>
              </w:rPr>
              <w:t>TB</w:t>
            </w:r>
            <w:r w:rsidR="00E47EF8">
              <w:rPr>
                <w:lang w:val="en-GB"/>
              </w:rPr>
              <w:t>D</w:t>
            </w:r>
          </w:p>
        </w:tc>
      </w:tr>
      <w:tr w:rsidR="00DA25E5" w:rsidRPr="00555E87" w:rsidTr="006772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shd w:val="clear" w:color="auto" w:fill="BDD6EE" w:themeFill="accent1" w:themeFillTint="66"/>
            <w:vAlign w:val="center"/>
          </w:tcPr>
          <w:p w:rsidR="00DA25E5" w:rsidRPr="00555E87" w:rsidRDefault="00DA25E5" w:rsidP="00DA25E5">
            <w:pPr>
              <w:ind w:right="142"/>
              <w:rPr>
                <w:b w:val="0"/>
                <w:lang w:val="en-GB"/>
              </w:rPr>
            </w:pPr>
            <w:r w:rsidRPr="00555E87">
              <w:rPr>
                <w:b w:val="0"/>
                <w:lang w:val="en-GB"/>
              </w:rPr>
              <w:t>Urban Fringe General Access</w:t>
            </w:r>
          </w:p>
        </w:tc>
        <w:tc>
          <w:tcPr>
            <w:tcW w:w="1701" w:type="dxa"/>
            <w:shd w:val="clear" w:color="auto" w:fill="BDD6EE" w:themeFill="accent1" w:themeFillTint="66"/>
            <w:vAlign w:val="center"/>
          </w:tcPr>
          <w:p w:rsidR="00DA25E5" w:rsidRPr="00555E87" w:rsidRDefault="00DA25E5" w:rsidP="00DA25E5">
            <w:pPr>
              <w:ind w:right="142"/>
              <w:cnfStyle w:val="000000100000" w:firstRow="0" w:lastRow="0" w:firstColumn="0" w:lastColumn="0" w:oddVBand="0" w:evenVBand="0" w:oddHBand="1" w:evenHBand="0" w:firstRowFirstColumn="0" w:firstRowLastColumn="0" w:lastRowFirstColumn="0" w:lastRowLastColumn="0"/>
              <w:rPr>
                <w:lang w:val="en-GB"/>
              </w:rPr>
            </w:pPr>
            <w:r w:rsidRPr="00555E87">
              <w:rPr>
                <w:lang w:val="en-GB"/>
              </w:rPr>
              <w:t>$3.16</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A25E5" w:rsidRDefault="00DA25E5" w:rsidP="00E47EF8">
            <w:pPr>
              <w:ind w:right="142"/>
              <w:cnfStyle w:val="000000100000" w:firstRow="0" w:lastRow="0" w:firstColumn="0" w:lastColumn="0" w:oddVBand="0" w:evenVBand="0" w:oddHBand="1" w:evenHBand="0" w:firstRowFirstColumn="0" w:firstRowLastColumn="0" w:lastRowFirstColumn="0" w:lastRowLastColumn="0"/>
              <w:rPr>
                <w:lang w:val="en-GB"/>
              </w:rPr>
            </w:pPr>
            <w:r>
              <w:rPr>
                <w:lang w:val="en-GB"/>
              </w:rPr>
              <w:t>TB</w:t>
            </w:r>
            <w:r w:rsidR="00E47EF8">
              <w:rPr>
                <w:lang w:val="en-GB"/>
              </w:rPr>
              <w:t>D</w:t>
            </w:r>
          </w:p>
        </w:tc>
      </w:tr>
      <w:tr w:rsidR="00DA25E5" w:rsidRPr="00555E87" w:rsidTr="00677252">
        <w:trPr>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tcPr>
          <w:p w:rsidR="00DA25E5" w:rsidRPr="00555E87" w:rsidRDefault="00DA25E5" w:rsidP="00DA25E5">
            <w:pPr>
              <w:ind w:right="142"/>
              <w:rPr>
                <w:b w:val="0"/>
                <w:lang w:val="en-GB"/>
              </w:rPr>
            </w:pPr>
            <w:r w:rsidRPr="00555E87">
              <w:rPr>
                <w:b w:val="0"/>
                <w:lang w:val="en-GB"/>
              </w:rPr>
              <w:t>Urban</w:t>
            </w:r>
          </w:p>
        </w:tc>
        <w:tc>
          <w:tcPr>
            <w:tcW w:w="1701" w:type="dxa"/>
            <w:vAlign w:val="center"/>
          </w:tcPr>
          <w:p w:rsidR="00DA25E5" w:rsidRPr="00555E87" w:rsidRDefault="00DA25E5" w:rsidP="00DA25E5">
            <w:pPr>
              <w:ind w:right="142"/>
              <w:cnfStyle w:val="000000000000" w:firstRow="0" w:lastRow="0" w:firstColumn="0" w:lastColumn="0" w:oddVBand="0" w:evenVBand="0" w:oddHBand="0" w:evenHBand="0" w:firstRowFirstColumn="0" w:firstRowLastColumn="0" w:lastRowFirstColumn="0" w:lastRowLastColumn="0"/>
              <w:rPr>
                <w:lang w:val="en-GB"/>
              </w:rPr>
            </w:pPr>
            <w:r w:rsidRPr="00555E87">
              <w:rPr>
                <w:lang w:val="en-GB"/>
              </w:rPr>
              <w:t>$0.92</w:t>
            </w:r>
          </w:p>
        </w:tc>
        <w:tc>
          <w:tcPr>
            <w:tcW w:w="1701" w:type="dxa"/>
            <w:tcBorders>
              <w:top w:val="single" w:sz="4" w:space="0" w:color="auto"/>
              <w:left w:val="single" w:sz="4" w:space="0" w:color="auto"/>
              <w:bottom w:val="single" w:sz="4" w:space="0" w:color="auto"/>
              <w:right w:val="single" w:sz="4" w:space="0" w:color="auto"/>
            </w:tcBorders>
            <w:vAlign w:val="center"/>
          </w:tcPr>
          <w:p w:rsidR="00DA25E5" w:rsidRDefault="00DA25E5" w:rsidP="00DA25E5">
            <w:pPr>
              <w:ind w:right="142"/>
              <w:cnfStyle w:val="000000000000" w:firstRow="0" w:lastRow="0" w:firstColumn="0" w:lastColumn="0" w:oddVBand="0" w:evenVBand="0" w:oddHBand="0" w:evenHBand="0" w:firstRowFirstColumn="0" w:firstRowLastColumn="0" w:lastRowFirstColumn="0" w:lastRowLastColumn="0"/>
              <w:rPr>
                <w:lang w:val="en-GB"/>
              </w:rPr>
            </w:pPr>
            <w:r>
              <w:rPr>
                <w:lang w:val="en-GB"/>
              </w:rPr>
              <w:t>$1.01</w:t>
            </w:r>
          </w:p>
        </w:tc>
      </w:tr>
      <w:tr w:rsidR="00DA25E5" w:rsidRPr="00555E87" w:rsidTr="006772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shd w:val="clear" w:color="auto" w:fill="BDD6EE" w:themeFill="accent1" w:themeFillTint="66"/>
            <w:vAlign w:val="center"/>
          </w:tcPr>
          <w:p w:rsidR="00DA25E5" w:rsidRPr="00555E87" w:rsidRDefault="00DA25E5" w:rsidP="00DA25E5">
            <w:pPr>
              <w:ind w:right="142"/>
              <w:rPr>
                <w:b w:val="0"/>
                <w:lang w:val="en-GB"/>
              </w:rPr>
            </w:pPr>
            <w:r w:rsidRPr="00555E87">
              <w:rPr>
                <w:b w:val="0"/>
                <w:lang w:val="en-GB"/>
              </w:rPr>
              <w:t>Town</w:t>
            </w:r>
          </w:p>
        </w:tc>
        <w:tc>
          <w:tcPr>
            <w:tcW w:w="1701" w:type="dxa"/>
            <w:shd w:val="clear" w:color="auto" w:fill="BDD6EE" w:themeFill="accent1" w:themeFillTint="66"/>
            <w:vAlign w:val="center"/>
          </w:tcPr>
          <w:p w:rsidR="00DA25E5" w:rsidRPr="00555E87" w:rsidRDefault="00DA25E5" w:rsidP="00DA25E5">
            <w:pPr>
              <w:ind w:right="142"/>
              <w:cnfStyle w:val="000000100000" w:firstRow="0" w:lastRow="0" w:firstColumn="0" w:lastColumn="0" w:oddVBand="0" w:evenVBand="0" w:oddHBand="1" w:evenHBand="0" w:firstRowFirstColumn="0" w:firstRowLastColumn="0" w:lastRowFirstColumn="0" w:lastRowLastColumn="0"/>
              <w:rPr>
                <w:lang w:val="en-GB"/>
              </w:rPr>
            </w:pPr>
            <w:r w:rsidRPr="00555E87">
              <w:rPr>
                <w:lang w:val="en-GB"/>
              </w:rPr>
              <w:t>$0.92</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A25E5" w:rsidRDefault="00DA25E5" w:rsidP="00DA25E5">
            <w:pPr>
              <w:ind w:right="142"/>
              <w:cnfStyle w:val="000000100000" w:firstRow="0" w:lastRow="0" w:firstColumn="0" w:lastColumn="0" w:oddVBand="0" w:evenVBand="0" w:oddHBand="1" w:evenHBand="0" w:firstRowFirstColumn="0" w:firstRowLastColumn="0" w:lastRowFirstColumn="0" w:lastRowLastColumn="0"/>
              <w:rPr>
                <w:lang w:val="en-GB"/>
              </w:rPr>
            </w:pPr>
            <w:r>
              <w:rPr>
                <w:lang w:val="en-GB"/>
              </w:rPr>
              <w:t>$1.01</w:t>
            </w:r>
          </w:p>
        </w:tc>
      </w:tr>
    </w:tbl>
    <w:p w:rsidR="00EF0882" w:rsidRPr="00555E87" w:rsidRDefault="00EF0882" w:rsidP="000B3A90">
      <w:pPr>
        <w:ind w:right="142"/>
        <w:rPr>
          <w:lang w:val="en-GB"/>
        </w:rPr>
      </w:pPr>
    </w:p>
    <w:p w:rsidR="00EF0882" w:rsidRPr="00555E87" w:rsidRDefault="00EF0882" w:rsidP="000B3A90">
      <w:pPr>
        <w:ind w:right="142"/>
        <w:rPr>
          <w:lang w:val="en-GB"/>
        </w:rPr>
      </w:pPr>
    </w:p>
    <w:p w:rsidR="00EF0882" w:rsidRPr="00555E87" w:rsidRDefault="00EF0882" w:rsidP="000B3A90">
      <w:pPr>
        <w:ind w:right="142"/>
        <w:rPr>
          <w:lang w:val="en-GB"/>
        </w:rPr>
      </w:pPr>
    </w:p>
    <w:p w:rsidR="00EF0882" w:rsidRPr="00555E87" w:rsidRDefault="00EF0882" w:rsidP="000B3A90">
      <w:pPr>
        <w:ind w:right="142"/>
        <w:rPr>
          <w:lang w:val="en-GB"/>
        </w:rPr>
      </w:pPr>
    </w:p>
    <w:p w:rsidR="00EF0882" w:rsidRPr="00555E87" w:rsidRDefault="00EF0882" w:rsidP="000B3A90">
      <w:pPr>
        <w:ind w:right="142"/>
        <w:rPr>
          <w:lang w:val="en-GB"/>
        </w:rPr>
      </w:pPr>
    </w:p>
    <w:p w:rsidR="00EF0882" w:rsidRPr="00555E87" w:rsidRDefault="00EF0882" w:rsidP="000B3A90">
      <w:pPr>
        <w:ind w:right="142"/>
        <w:rPr>
          <w:lang w:val="en-GB"/>
        </w:rPr>
      </w:pPr>
    </w:p>
    <w:p w:rsidR="00EF0882" w:rsidRPr="00555E87" w:rsidRDefault="00EF0882" w:rsidP="000B3A90">
      <w:pPr>
        <w:ind w:right="142"/>
        <w:rPr>
          <w:lang w:val="en-GB"/>
        </w:rPr>
      </w:pPr>
    </w:p>
    <w:p w:rsidR="00EF0882" w:rsidRDefault="00EF0882" w:rsidP="000B3A90">
      <w:pPr>
        <w:ind w:right="142"/>
        <w:rPr>
          <w:lang w:val="en-GB"/>
        </w:rPr>
      </w:pPr>
    </w:p>
    <w:p w:rsidR="00954FE5" w:rsidRPr="00555E87" w:rsidRDefault="00954FE5" w:rsidP="000B3A90">
      <w:pPr>
        <w:ind w:right="142"/>
        <w:rPr>
          <w:lang w:val="en-GB"/>
        </w:rPr>
      </w:pPr>
    </w:p>
    <w:p w:rsidR="00EF0882" w:rsidRPr="00954FE5" w:rsidRDefault="00EF0882" w:rsidP="000B3A90">
      <w:pPr>
        <w:pStyle w:val="Heading1"/>
        <w:spacing w:before="360" w:after="120"/>
        <w:ind w:right="142"/>
        <w:jc w:val="both"/>
        <w:rPr>
          <w:color w:val="009999"/>
          <w:lang w:val="en-GB"/>
        </w:rPr>
      </w:pPr>
      <w:r w:rsidRPr="00954FE5">
        <w:rPr>
          <w:color w:val="009999"/>
          <w:lang w:val="en-GB"/>
        </w:rPr>
        <w:t>Contact us</w:t>
      </w:r>
    </w:p>
    <w:p w:rsidR="00EF0882" w:rsidRPr="006E7989" w:rsidRDefault="00EF0882" w:rsidP="000B3A90">
      <w:pPr>
        <w:spacing w:after="240"/>
        <w:ind w:right="142"/>
        <w:jc w:val="both"/>
        <w:rPr>
          <w:color w:val="000000"/>
          <w:lang w:val="en-GB"/>
        </w:rPr>
      </w:pPr>
      <w:r w:rsidRPr="006E7989">
        <w:rPr>
          <w:color w:val="000000"/>
          <w:lang w:val="en-GB"/>
        </w:rPr>
        <w:t>Should you have a query for any member of the Contracts team, please don’t hesitate to get in touch with us:</w:t>
      </w: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123"/>
        <w:gridCol w:w="1555"/>
        <w:gridCol w:w="3685"/>
      </w:tblGrid>
      <w:tr w:rsidR="00EF0882" w:rsidRPr="006E7989" w:rsidTr="00D53812">
        <w:trPr>
          <w:trHeight w:val="417"/>
        </w:trPr>
        <w:tc>
          <w:tcPr>
            <w:tcW w:w="1985" w:type="dxa"/>
            <w:vAlign w:val="center"/>
          </w:tcPr>
          <w:p w:rsidR="00EF0882" w:rsidRPr="006E7989" w:rsidRDefault="00EF0882" w:rsidP="000B3A90">
            <w:pPr>
              <w:spacing w:before="80" w:after="80"/>
              <w:ind w:right="142"/>
              <w:rPr>
                <w:color w:val="000000"/>
                <w:lang w:val="en-GB"/>
              </w:rPr>
            </w:pPr>
            <w:r w:rsidRPr="006E7989">
              <w:rPr>
                <w:color w:val="000000"/>
                <w:sz w:val="20"/>
                <w:szCs w:val="20"/>
                <w:lang w:val="en-GB"/>
              </w:rPr>
              <w:t>Babette Moate</w:t>
            </w:r>
          </w:p>
        </w:tc>
        <w:tc>
          <w:tcPr>
            <w:tcW w:w="3123" w:type="dxa"/>
            <w:vAlign w:val="center"/>
          </w:tcPr>
          <w:p w:rsidR="00EF0882" w:rsidRPr="006E7989" w:rsidRDefault="00EF0882" w:rsidP="000B3A90">
            <w:pPr>
              <w:spacing w:before="80" w:after="80"/>
              <w:ind w:right="142"/>
              <w:rPr>
                <w:color w:val="000000"/>
                <w:lang w:val="en-GB"/>
              </w:rPr>
            </w:pPr>
            <w:r w:rsidRPr="006E7989">
              <w:rPr>
                <w:color w:val="000000"/>
                <w:sz w:val="20"/>
                <w:szCs w:val="20"/>
                <w:lang w:val="en-GB"/>
              </w:rPr>
              <w:t>Manager</w:t>
            </w:r>
          </w:p>
        </w:tc>
        <w:tc>
          <w:tcPr>
            <w:tcW w:w="1555" w:type="dxa"/>
            <w:vAlign w:val="center"/>
          </w:tcPr>
          <w:p w:rsidR="00EF0882" w:rsidRPr="006E7989" w:rsidRDefault="00EF0882" w:rsidP="000B3A90">
            <w:pPr>
              <w:spacing w:before="80" w:after="80"/>
              <w:ind w:right="142"/>
              <w:jc w:val="center"/>
              <w:rPr>
                <w:color w:val="000000"/>
                <w:lang w:val="en-GB"/>
              </w:rPr>
            </w:pPr>
            <w:r w:rsidRPr="006E7989">
              <w:rPr>
                <w:color w:val="000000"/>
                <w:sz w:val="20"/>
                <w:szCs w:val="20"/>
                <w:lang w:val="en-GB"/>
              </w:rPr>
              <w:t>6166 3332</w:t>
            </w:r>
          </w:p>
        </w:tc>
        <w:tc>
          <w:tcPr>
            <w:tcW w:w="3685" w:type="dxa"/>
            <w:vAlign w:val="center"/>
          </w:tcPr>
          <w:p w:rsidR="00EF0882" w:rsidRPr="00954FE5" w:rsidRDefault="00B13235" w:rsidP="000B3A90">
            <w:pPr>
              <w:spacing w:before="80" w:after="80"/>
              <w:ind w:right="142"/>
              <w:jc w:val="right"/>
              <w:rPr>
                <w:color w:val="009999"/>
                <w:lang w:val="en-GB"/>
              </w:rPr>
            </w:pPr>
            <w:hyperlink r:id="rId12" w:history="1">
              <w:r w:rsidR="00EF0882" w:rsidRPr="00954FE5">
                <w:rPr>
                  <w:rStyle w:val="Hyperlink"/>
                  <w:color w:val="009999"/>
                  <w:sz w:val="20"/>
                  <w:szCs w:val="20"/>
                  <w:lang w:val="en-GB"/>
                </w:rPr>
                <w:t>babette.moate@stategrowth.tas.gov.au</w:t>
              </w:r>
            </w:hyperlink>
          </w:p>
        </w:tc>
      </w:tr>
      <w:tr w:rsidR="00EF0882" w:rsidRPr="006E7989" w:rsidTr="00D53812">
        <w:trPr>
          <w:trHeight w:val="423"/>
        </w:trPr>
        <w:tc>
          <w:tcPr>
            <w:tcW w:w="1985" w:type="dxa"/>
            <w:vAlign w:val="center"/>
          </w:tcPr>
          <w:p w:rsidR="00EF0882" w:rsidRPr="006E7989" w:rsidRDefault="00D53812" w:rsidP="000B3A90">
            <w:pPr>
              <w:spacing w:before="80" w:after="80"/>
              <w:ind w:right="142"/>
              <w:rPr>
                <w:color w:val="000000"/>
                <w:lang w:val="en-GB"/>
              </w:rPr>
            </w:pPr>
            <w:r>
              <w:rPr>
                <w:color w:val="000000"/>
                <w:sz w:val="20"/>
                <w:szCs w:val="20"/>
                <w:lang w:val="en-GB"/>
              </w:rPr>
              <w:t>Nicole Trounce</w:t>
            </w:r>
          </w:p>
        </w:tc>
        <w:tc>
          <w:tcPr>
            <w:tcW w:w="3123" w:type="dxa"/>
            <w:vAlign w:val="center"/>
          </w:tcPr>
          <w:p w:rsidR="00EF0882" w:rsidRPr="006E7989" w:rsidRDefault="00EF0882" w:rsidP="000B3A90">
            <w:pPr>
              <w:spacing w:before="80" w:after="80"/>
              <w:ind w:right="142"/>
              <w:rPr>
                <w:color w:val="000000"/>
                <w:lang w:val="en-GB"/>
              </w:rPr>
            </w:pPr>
            <w:r w:rsidRPr="006E7989">
              <w:rPr>
                <w:color w:val="000000"/>
                <w:sz w:val="20"/>
                <w:szCs w:val="20"/>
                <w:lang w:val="en-GB"/>
              </w:rPr>
              <w:t>Manager Contracts</w:t>
            </w:r>
          </w:p>
        </w:tc>
        <w:tc>
          <w:tcPr>
            <w:tcW w:w="1555" w:type="dxa"/>
            <w:vAlign w:val="center"/>
          </w:tcPr>
          <w:p w:rsidR="00EF0882" w:rsidRPr="006E7989" w:rsidRDefault="00EF0882" w:rsidP="000B3A90">
            <w:pPr>
              <w:spacing w:before="80" w:after="80"/>
              <w:ind w:right="142"/>
              <w:jc w:val="center"/>
              <w:rPr>
                <w:color w:val="000000"/>
                <w:lang w:val="en-GB"/>
              </w:rPr>
            </w:pPr>
            <w:r w:rsidRPr="006E7989">
              <w:rPr>
                <w:color w:val="000000"/>
                <w:sz w:val="20"/>
                <w:szCs w:val="20"/>
                <w:lang w:val="en-GB"/>
              </w:rPr>
              <w:t>6166 3343</w:t>
            </w:r>
          </w:p>
        </w:tc>
        <w:tc>
          <w:tcPr>
            <w:tcW w:w="3685" w:type="dxa"/>
            <w:vAlign w:val="center"/>
          </w:tcPr>
          <w:p w:rsidR="00EF0882" w:rsidRPr="00954FE5" w:rsidRDefault="00B13235" w:rsidP="000B3A90">
            <w:pPr>
              <w:spacing w:before="80" w:after="80"/>
              <w:ind w:right="142"/>
              <w:jc w:val="right"/>
              <w:rPr>
                <w:color w:val="009999"/>
                <w:lang w:val="en-GB"/>
              </w:rPr>
            </w:pPr>
            <w:hyperlink r:id="rId13" w:history="1">
              <w:r w:rsidR="00D53812" w:rsidRPr="00954FE5">
                <w:rPr>
                  <w:rStyle w:val="Hyperlink"/>
                  <w:color w:val="009999"/>
                  <w:sz w:val="20"/>
                  <w:szCs w:val="20"/>
                  <w:lang w:val="en-GB"/>
                </w:rPr>
                <w:t>nicole.trounce@stategrowth.tas.gov.au</w:t>
              </w:r>
            </w:hyperlink>
          </w:p>
        </w:tc>
      </w:tr>
      <w:tr w:rsidR="00EF0882" w:rsidRPr="006E7989" w:rsidTr="00D53812">
        <w:trPr>
          <w:trHeight w:val="415"/>
        </w:trPr>
        <w:tc>
          <w:tcPr>
            <w:tcW w:w="1985" w:type="dxa"/>
            <w:vAlign w:val="center"/>
          </w:tcPr>
          <w:p w:rsidR="00EF0882" w:rsidRPr="006E7989" w:rsidRDefault="00EF0882" w:rsidP="000B3A90">
            <w:pPr>
              <w:spacing w:before="80" w:after="80"/>
              <w:ind w:right="142"/>
              <w:rPr>
                <w:color w:val="000000"/>
                <w:sz w:val="20"/>
                <w:szCs w:val="20"/>
                <w:lang w:val="en-GB"/>
              </w:rPr>
            </w:pPr>
            <w:r w:rsidRPr="006E7989">
              <w:rPr>
                <w:color w:val="000000"/>
                <w:sz w:val="20"/>
                <w:szCs w:val="20"/>
                <w:lang w:val="en-GB"/>
              </w:rPr>
              <w:t>Craig Elliot</w:t>
            </w:r>
          </w:p>
        </w:tc>
        <w:tc>
          <w:tcPr>
            <w:tcW w:w="3123" w:type="dxa"/>
            <w:vAlign w:val="center"/>
          </w:tcPr>
          <w:p w:rsidR="00EF0882" w:rsidRPr="006E7989" w:rsidRDefault="00EF0882" w:rsidP="000B3A90">
            <w:pPr>
              <w:spacing w:before="80" w:after="80"/>
              <w:ind w:right="142"/>
              <w:rPr>
                <w:color w:val="000000"/>
                <w:sz w:val="20"/>
                <w:szCs w:val="20"/>
                <w:lang w:val="en-GB"/>
              </w:rPr>
            </w:pPr>
            <w:r w:rsidRPr="006E7989">
              <w:rPr>
                <w:color w:val="000000"/>
                <w:sz w:val="20"/>
                <w:szCs w:val="20"/>
                <w:lang w:val="en-GB"/>
              </w:rPr>
              <w:t>Principal Contracts Officer</w:t>
            </w:r>
          </w:p>
        </w:tc>
        <w:tc>
          <w:tcPr>
            <w:tcW w:w="1555" w:type="dxa"/>
            <w:vAlign w:val="center"/>
          </w:tcPr>
          <w:p w:rsidR="00EF0882" w:rsidRPr="006E7989" w:rsidRDefault="00EF0882" w:rsidP="000B3A90">
            <w:pPr>
              <w:spacing w:before="80" w:after="80"/>
              <w:ind w:right="142"/>
              <w:jc w:val="center"/>
              <w:rPr>
                <w:color w:val="000000"/>
                <w:sz w:val="20"/>
                <w:szCs w:val="20"/>
                <w:lang w:val="en-GB"/>
              </w:rPr>
            </w:pPr>
            <w:r w:rsidRPr="006E7989">
              <w:rPr>
                <w:color w:val="000000"/>
                <w:sz w:val="20"/>
                <w:szCs w:val="20"/>
                <w:lang w:val="en-GB"/>
              </w:rPr>
              <w:t>6166 3334</w:t>
            </w:r>
          </w:p>
        </w:tc>
        <w:tc>
          <w:tcPr>
            <w:tcW w:w="3685" w:type="dxa"/>
            <w:vAlign w:val="center"/>
          </w:tcPr>
          <w:p w:rsidR="00EF0882" w:rsidRPr="00954FE5" w:rsidRDefault="00B13235" w:rsidP="000B3A90">
            <w:pPr>
              <w:spacing w:before="80" w:after="80"/>
              <w:ind w:right="142"/>
              <w:jc w:val="right"/>
              <w:rPr>
                <w:color w:val="009999"/>
              </w:rPr>
            </w:pPr>
            <w:hyperlink r:id="rId14" w:history="1">
              <w:r w:rsidR="00EF0882" w:rsidRPr="00954FE5">
                <w:rPr>
                  <w:rStyle w:val="Hyperlink"/>
                  <w:color w:val="009999"/>
                  <w:sz w:val="20"/>
                  <w:szCs w:val="20"/>
                  <w:lang w:val="en-GB"/>
                </w:rPr>
                <w:t>craig.elliot@stategrowth.tas.gov.au</w:t>
              </w:r>
            </w:hyperlink>
          </w:p>
        </w:tc>
      </w:tr>
      <w:tr w:rsidR="00EF0882" w:rsidRPr="006E7989" w:rsidTr="00D53812">
        <w:trPr>
          <w:trHeight w:val="415"/>
        </w:trPr>
        <w:tc>
          <w:tcPr>
            <w:tcW w:w="1985" w:type="dxa"/>
            <w:vAlign w:val="center"/>
          </w:tcPr>
          <w:p w:rsidR="00EF0882" w:rsidRPr="006E7989" w:rsidRDefault="00EF0882" w:rsidP="000B3A90">
            <w:pPr>
              <w:spacing w:before="80" w:after="80"/>
              <w:ind w:right="142"/>
              <w:rPr>
                <w:color w:val="000000"/>
                <w:lang w:val="en-GB"/>
              </w:rPr>
            </w:pPr>
            <w:r w:rsidRPr="006E7989">
              <w:rPr>
                <w:color w:val="000000"/>
                <w:sz w:val="20"/>
                <w:szCs w:val="20"/>
                <w:lang w:val="en-GB"/>
              </w:rPr>
              <w:t>Kim Harris</w:t>
            </w:r>
          </w:p>
        </w:tc>
        <w:tc>
          <w:tcPr>
            <w:tcW w:w="3123" w:type="dxa"/>
            <w:vAlign w:val="center"/>
          </w:tcPr>
          <w:p w:rsidR="00EF0882" w:rsidRPr="006E7989" w:rsidRDefault="00EF0882" w:rsidP="000B3A90">
            <w:pPr>
              <w:spacing w:before="80" w:after="80"/>
              <w:ind w:right="142"/>
              <w:rPr>
                <w:color w:val="000000"/>
                <w:lang w:val="en-GB"/>
              </w:rPr>
            </w:pPr>
            <w:r w:rsidRPr="006E7989">
              <w:rPr>
                <w:color w:val="000000"/>
                <w:sz w:val="20"/>
                <w:szCs w:val="20"/>
                <w:lang w:val="en-GB"/>
              </w:rPr>
              <w:t>Senior Contracts Admin</w:t>
            </w:r>
            <w:r w:rsidR="00D53812">
              <w:rPr>
                <w:color w:val="000000"/>
                <w:sz w:val="20"/>
                <w:szCs w:val="20"/>
                <w:lang w:val="en-GB"/>
              </w:rPr>
              <w:t>istration</w:t>
            </w:r>
          </w:p>
        </w:tc>
        <w:tc>
          <w:tcPr>
            <w:tcW w:w="1555" w:type="dxa"/>
            <w:vAlign w:val="center"/>
          </w:tcPr>
          <w:p w:rsidR="00EF0882" w:rsidRPr="006E7989" w:rsidRDefault="00EF0882" w:rsidP="000B3A90">
            <w:pPr>
              <w:spacing w:before="80" w:after="80"/>
              <w:ind w:right="142"/>
              <w:jc w:val="center"/>
              <w:rPr>
                <w:color w:val="000000"/>
                <w:lang w:val="en-GB"/>
              </w:rPr>
            </w:pPr>
            <w:r w:rsidRPr="006E7989">
              <w:rPr>
                <w:color w:val="000000"/>
                <w:sz w:val="20"/>
                <w:szCs w:val="20"/>
                <w:lang w:val="en-GB"/>
              </w:rPr>
              <w:t>6166 3340</w:t>
            </w:r>
          </w:p>
        </w:tc>
        <w:tc>
          <w:tcPr>
            <w:tcW w:w="3685" w:type="dxa"/>
            <w:vAlign w:val="center"/>
          </w:tcPr>
          <w:p w:rsidR="00EF0882" w:rsidRPr="00954FE5" w:rsidRDefault="00B13235" w:rsidP="000B3A90">
            <w:pPr>
              <w:spacing w:before="80" w:after="80"/>
              <w:ind w:right="142"/>
              <w:jc w:val="right"/>
              <w:rPr>
                <w:color w:val="009999"/>
                <w:lang w:val="en-GB"/>
              </w:rPr>
            </w:pPr>
            <w:hyperlink r:id="rId15" w:history="1">
              <w:r w:rsidR="00EF0882" w:rsidRPr="00954FE5">
                <w:rPr>
                  <w:rStyle w:val="Hyperlink"/>
                  <w:color w:val="009999"/>
                  <w:sz w:val="20"/>
                  <w:szCs w:val="20"/>
                  <w:lang w:val="en-GB"/>
                </w:rPr>
                <w:t>kim.harris@stategrowth.tas.gov.au</w:t>
              </w:r>
            </w:hyperlink>
          </w:p>
        </w:tc>
      </w:tr>
      <w:tr w:rsidR="00EF0882" w:rsidRPr="006E7989" w:rsidTr="00D53812">
        <w:trPr>
          <w:trHeight w:val="337"/>
        </w:trPr>
        <w:tc>
          <w:tcPr>
            <w:tcW w:w="1985" w:type="dxa"/>
            <w:vAlign w:val="center"/>
          </w:tcPr>
          <w:p w:rsidR="00EF0882" w:rsidRPr="006E7989" w:rsidRDefault="00EF0882" w:rsidP="000B3A90">
            <w:pPr>
              <w:spacing w:before="80" w:after="80"/>
              <w:ind w:right="142"/>
              <w:rPr>
                <w:color w:val="000000"/>
                <w:lang w:val="en-GB"/>
              </w:rPr>
            </w:pPr>
            <w:r w:rsidRPr="006E7989">
              <w:rPr>
                <w:color w:val="000000"/>
                <w:sz w:val="20"/>
                <w:szCs w:val="20"/>
                <w:lang w:val="en-GB"/>
              </w:rPr>
              <w:t>Lauren Stewart</w:t>
            </w:r>
          </w:p>
        </w:tc>
        <w:tc>
          <w:tcPr>
            <w:tcW w:w="3123" w:type="dxa"/>
            <w:vAlign w:val="center"/>
          </w:tcPr>
          <w:p w:rsidR="00EF0882" w:rsidRPr="006E7989" w:rsidRDefault="00EF0882" w:rsidP="000B3A90">
            <w:pPr>
              <w:spacing w:before="80" w:after="80"/>
              <w:ind w:right="142"/>
              <w:rPr>
                <w:color w:val="000000"/>
                <w:lang w:val="en-GB"/>
              </w:rPr>
            </w:pPr>
            <w:r w:rsidRPr="006E7989">
              <w:rPr>
                <w:color w:val="000000"/>
                <w:sz w:val="20"/>
                <w:szCs w:val="20"/>
                <w:lang w:val="en-GB"/>
              </w:rPr>
              <w:t>Payments</w:t>
            </w:r>
          </w:p>
        </w:tc>
        <w:tc>
          <w:tcPr>
            <w:tcW w:w="1555" w:type="dxa"/>
            <w:vAlign w:val="center"/>
          </w:tcPr>
          <w:p w:rsidR="00EF0882" w:rsidRPr="006E7989" w:rsidRDefault="00EF0882" w:rsidP="000B3A90">
            <w:pPr>
              <w:spacing w:before="80" w:after="80"/>
              <w:ind w:right="142"/>
              <w:jc w:val="center"/>
              <w:rPr>
                <w:color w:val="000000"/>
                <w:lang w:val="en-GB"/>
              </w:rPr>
            </w:pPr>
            <w:r w:rsidRPr="006E7989">
              <w:rPr>
                <w:color w:val="000000"/>
                <w:sz w:val="20"/>
                <w:szCs w:val="20"/>
                <w:lang w:val="en-GB"/>
              </w:rPr>
              <w:t>6166 3336</w:t>
            </w:r>
          </w:p>
        </w:tc>
        <w:tc>
          <w:tcPr>
            <w:tcW w:w="3685" w:type="dxa"/>
            <w:vAlign w:val="center"/>
          </w:tcPr>
          <w:p w:rsidR="00EF0882" w:rsidRPr="00954FE5" w:rsidRDefault="00B13235" w:rsidP="000B3A90">
            <w:pPr>
              <w:spacing w:before="80" w:after="80"/>
              <w:ind w:right="142"/>
              <w:jc w:val="right"/>
              <w:rPr>
                <w:color w:val="009999"/>
                <w:lang w:val="en-GB"/>
              </w:rPr>
            </w:pPr>
            <w:hyperlink r:id="rId16" w:history="1">
              <w:r w:rsidR="00EF0882" w:rsidRPr="00954FE5">
                <w:rPr>
                  <w:rStyle w:val="Hyperlink"/>
                  <w:color w:val="009999"/>
                  <w:sz w:val="20"/>
                  <w:szCs w:val="20"/>
                  <w:lang w:val="en-GB"/>
                </w:rPr>
                <w:t>lauren.stewart@stategrowth.tas.gov.au</w:t>
              </w:r>
            </w:hyperlink>
          </w:p>
        </w:tc>
      </w:tr>
      <w:tr w:rsidR="00EF0882" w:rsidRPr="006E7989" w:rsidTr="00D53812">
        <w:trPr>
          <w:trHeight w:val="406"/>
        </w:trPr>
        <w:tc>
          <w:tcPr>
            <w:tcW w:w="1985" w:type="dxa"/>
            <w:vAlign w:val="center"/>
          </w:tcPr>
          <w:p w:rsidR="00EF0882" w:rsidRPr="006E7989" w:rsidRDefault="00EF0882" w:rsidP="000B3A90">
            <w:pPr>
              <w:spacing w:before="80" w:after="80"/>
              <w:ind w:right="142"/>
              <w:rPr>
                <w:color w:val="000000"/>
                <w:sz w:val="20"/>
                <w:szCs w:val="20"/>
                <w:lang w:val="en-GB"/>
              </w:rPr>
            </w:pPr>
            <w:r w:rsidRPr="006E7989">
              <w:rPr>
                <w:color w:val="000000"/>
                <w:sz w:val="20"/>
                <w:szCs w:val="20"/>
                <w:lang w:val="en-GB"/>
              </w:rPr>
              <w:t>Leanne Dac</w:t>
            </w:r>
          </w:p>
        </w:tc>
        <w:tc>
          <w:tcPr>
            <w:tcW w:w="3123" w:type="dxa"/>
            <w:vAlign w:val="center"/>
          </w:tcPr>
          <w:p w:rsidR="00EF0882" w:rsidRPr="006E7989" w:rsidRDefault="00EF0882" w:rsidP="000B3A90">
            <w:pPr>
              <w:spacing w:before="80" w:after="80"/>
              <w:ind w:right="142"/>
              <w:rPr>
                <w:color w:val="000000"/>
                <w:sz w:val="20"/>
                <w:szCs w:val="20"/>
                <w:lang w:val="en-GB"/>
              </w:rPr>
            </w:pPr>
            <w:r w:rsidRPr="006E7989">
              <w:rPr>
                <w:color w:val="000000"/>
                <w:sz w:val="20"/>
                <w:szCs w:val="20"/>
                <w:lang w:val="en-GB"/>
              </w:rPr>
              <w:t>Contracts Admin</w:t>
            </w:r>
            <w:r w:rsidR="00D53812">
              <w:rPr>
                <w:color w:val="000000"/>
                <w:sz w:val="20"/>
                <w:szCs w:val="20"/>
                <w:lang w:val="en-GB"/>
              </w:rPr>
              <w:t>istration</w:t>
            </w:r>
          </w:p>
        </w:tc>
        <w:tc>
          <w:tcPr>
            <w:tcW w:w="1555" w:type="dxa"/>
            <w:vAlign w:val="center"/>
          </w:tcPr>
          <w:p w:rsidR="00EF0882" w:rsidRPr="006E7989" w:rsidRDefault="00EF0882" w:rsidP="000B3A90">
            <w:pPr>
              <w:spacing w:before="80" w:after="80"/>
              <w:ind w:right="142"/>
              <w:jc w:val="center"/>
              <w:rPr>
                <w:color w:val="000000"/>
                <w:sz w:val="20"/>
                <w:szCs w:val="20"/>
                <w:lang w:val="en-GB"/>
              </w:rPr>
            </w:pPr>
            <w:r w:rsidRPr="006E7989">
              <w:rPr>
                <w:color w:val="000000"/>
                <w:sz w:val="20"/>
                <w:szCs w:val="20"/>
                <w:lang w:val="en-GB"/>
              </w:rPr>
              <w:t>6166 3334</w:t>
            </w:r>
          </w:p>
        </w:tc>
        <w:tc>
          <w:tcPr>
            <w:tcW w:w="3685" w:type="dxa"/>
            <w:vAlign w:val="center"/>
          </w:tcPr>
          <w:p w:rsidR="00EF0882" w:rsidRPr="00954FE5" w:rsidRDefault="00B13235" w:rsidP="000B3A90">
            <w:pPr>
              <w:spacing w:before="80" w:after="80"/>
              <w:ind w:right="142"/>
              <w:jc w:val="right"/>
              <w:rPr>
                <w:color w:val="009999"/>
                <w:sz w:val="20"/>
                <w:szCs w:val="20"/>
              </w:rPr>
            </w:pPr>
            <w:hyperlink r:id="rId17" w:history="1">
              <w:r w:rsidR="00EF0882" w:rsidRPr="00954FE5">
                <w:rPr>
                  <w:rStyle w:val="Hyperlink"/>
                  <w:color w:val="009999"/>
                  <w:sz w:val="20"/>
                  <w:szCs w:val="20"/>
                </w:rPr>
                <w:t>leanne.dac@stategrowth.tas.gov.au</w:t>
              </w:r>
            </w:hyperlink>
          </w:p>
        </w:tc>
      </w:tr>
      <w:tr w:rsidR="00EF0882" w:rsidRPr="006E7989" w:rsidTr="00D53812">
        <w:trPr>
          <w:trHeight w:val="421"/>
        </w:trPr>
        <w:tc>
          <w:tcPr>
            <w:tcW w:w="1985" w:type="dxa"/>
            <w:vAlign w:val="center"/>
          </w:tcPr>
          <w:p w:rsidR="00EF0882" w:rsidRPr="006E7989" w:rsidRDefault="00EF0882" w:rsidP="000B3A90">
            <w:pPr>
              <w:spacing w:before="80" w:after="80"/>
              <w:ind w:right="142"/>
              <w:rPr>
                <w:color w:val="000000"/>
                <w:lang w:val="en-GB"/>
              </w:rPr>
            </w:pPr>
            <w:r w:rsidRPr="006E7989">
              <w:rPr>
                <w:color w:val="000000"/>
                <w:sz w:val="20"/>
                <w:szCs w:val="20"/>
                <w:lang w:val="en-GB"/>
              </w:rPr>
              <w:t>Andy Hall</w:t>
            </w:r>
          </w:p>
        </w:tc>
        <w:tc>
          <w:tcPr>
            <w:tcW w:w="3123" w:type="dxa"/>
            <w:vAlign w:val="center"/>
          </w:tcPr>
          <w:p w:rsidR="00EF0882" w:rsidRPr="006E7989" w:rsidRDefault="00EF0882" w:rsidP="000B3A90">
            <w:pPr>
              <w:spacing w:before="80" w:after="80"/>
              <w:ind w:right="142"/>
              <w:rPr>
                <w:color w:val="000000"/>
                <w:lang w:val="en-GB"/>
              </w:rPr>
            </w:pPr>
            <w:r w:rsidRPr="006E7989">
              <w:rPr>
                <w:color w:val="000000"/>
                <w:sz w:val="20"/>
                <w:szCs w:val="20"/>
                <w:lang w:val="en-GB"/>
              </w:rPr>
              <w:t>Contracts Admin</w:t>
            </w:r>
            <w:r w:rsidR="00D53812">
              <w:rPr>
                <w:color w:val="000000"/>
                <w:sz w:val="20"/>
                <w:szCs w:val="20"/>
                <w:lang w:val="en-GB"/>
              </w:rPr>
              <w:t>istration</w:t>
            </w:r>
          </w:p>
        </w:tc>
        <w:tc>
          <w:tcPr>
            <w:tcW w:w="1555" w:type="dxa"/>
            <w:vAlign w:val="center"/>
          </w:tcPr>
          <w:p w:rsidR="00EF0882" w:rsidRPr="006E7989" w:rsidRDefault="00EF0882" w:rsidP="000B3A90">
            <w:pPr>
              <w:spacing w:before="80" w:after="80"/>
              <w:ind w:right="142"/>
              <w:jc w:val="center"/>
              <w:rPr>
                <w:color w:val="000000"/>
                <w:lang w:val="en-GB"/>
              </w:rPr>
            </w:pPr>
            <w:r w:rsidRPr="006E7989">
              <w:rPr>
                <w:color w:val="000000"/>
                <w:sz w:val="20"/>
                <w:szCs w:val="20"/>
                <w:lang w:val="en-GB"/>
              </w:rPr>
              <w:t>6166 3342</w:t>
            </w:r>
          </w:p>
        </w:tc>
        <w:tc>
          <w:tcPr>
            <w:tcW w:w="3685" w:type="dxa"/>
            <w:vAlign w:val="center"/>
          </w:tcPr>
          <w:p w:rsidR="00EF0882" w:rsidRPr="00954FE5" w:rsidRDefault="00B13235" w:rsidP="000B3A90">
            <w:pPr>
              <w:spacing w:before="80" w:after="80"/>
              <w:ind w:right="142"/>
              <w:jc w:val="right"/>
              <w:rPr>
                <w:color w:val="009999"/>
                <w:lang w:val="en-GB"/>
              </w:rPr>
            </w:pPr>
            <w:hyperlink r:id="rId18" w:history="1">
              <w:r w:rsidR="00EF0882" w:rsidRPr="00954FE5">
                <w:rPr>
                  <w:rStyle w:val="Hyperlink"/>
                  <w:color w:val="009999"/>
                  <w:sz w:val="20"/>
                  <w:szCs w:val="20"/>
                  <w:lang w:val="en-GB"/>
                </w:rPr>
                <w:t>andrew.hall@stategrowth.tas.gov.au</w:t>
              </w:r>
            </w:hyperlink>
          </w:p>
        </w:tc>
      </w:tr>
      <w:tr w:rsidR="00EF0882" w:rsidRPr="006E7989" w:rsidTr="00D53812">
        <w:trPr>
          <w:trHeight w:val="418"/>
        </w:trPr>
        <w:tc>
          <w:tcPr>
            <w:tcW w:w="1985" w:type="dxa"/>
            <w:vAlign w:val="center"/>
          </w:tcPr>
          <w:p w:rsidR="00EF0882" w:rsidRPr="00D53812" w:rsidRDefault="00EF0882" w:rsidP="000B3A90">
            <w:pPr>
              <w:spacing w:before="80" w:after="80"/>
              <w:ind w:right="142"/>
              <w:rPr>
                <w:color w:val="000000"/>
                <w:lang w:val="en-GB"/>
              </w:rPr>
            </w:pPr>
            <w:r w:rsidRPr="00D53812">
              <w:rPr>
                <w:rStyle w:val="Hyperlink"/>
                <w:color w:val="auto"/>
                <w:sz w:val="20"/>
                <w:szCs w:val="20"/>
                <w:u w:val="none"/>
                <w:lang w:val="en-GB"/>
              </w:rPr>
              <w:t>Geoff Reason</w:t>
            </w:r>
          </w:p>
        </w:tc>
        <w:tc>
          <w:tcPr>
            <w:tcW w:w="3123" w:type="dxa"/>
            <w:vAlign w:val="center"/>
          </w:tcPr>
          <w:p w:rsidR="00EF0882" w:rsidRPr="006E7989" w:rsidRDefault="00EF0882" w:rsidP="000B3A90">
            <w:pPr>
              <w:spacing w:before="80" w:after="80"/>
              <w:ind w:right="142"/>
              <w:rPr>
                <w:color w:val="000000"/>
                <w:lang w:val="en-GB"/>
              </w:rPr>
            </w:pPr>
            <w:r w:rsidRPr="006E7989">
              <w:rPr>
                <w:color w:val="000000"/>
                <w:sz w:val="20"/>
                <w:szCs w:val="20"/>
                <w:lang w:val="en-GB"/>
              </w:rPr>
              <w:t>Contracts Admin</w:t>
            </w:r>
            <w:r w:rsidR="00D53812">
              <w:rPr>
                <w:color w:val="000000"/>
                <w:sz w:val="20"/>
                <w:szCs w:val="20"/>
                <w:lang w:val="en-GB"/>
              </w:rPr>
              <w:t>istration</w:t>
            </w:r>
          </w:p>
        </w:tc>
        <w:tc>
          <w:tcPr>
            <w:tcW w:w="1555" w:type="dxa"/>
            <w:vAlign w:val="center"/>
          </w:tcPr>
          <w:p w:rsidR="00EF0882" w:rsidRPr="00D53812" w:rsidRDefault="00EF0882" w:rsidP="000B3A90">
            <w:pPr>
              <w:spacing w:before="80" w:after="80"/>
              <w:ind w:right="142"/>
              <w:jc w:val="center"/>
              <w:rPr>
                <w:color w:val="000000"/>
                <w:lang w:val="en-GB"/>
              </w:rPr>
            </w:pPr>
            <w:r w:rsidRPr="00D53812">
              <w:rPr>
                <w:rStyle w:val="Hyperlink"/>
                <w:color w:val="auto"/>
                <w:sz w:val="20"/>
                <w:szCs w:val="20"/>
                <w:u w:val="none"/>
                <w:lang w:val="en-GB"/>
              </w:rPr>
              <w:t>6166 3341</w:t>
            </w:r>
          </w:p>
        </w:tc>
        <w:tc>
          <w:tcPr>
            <w:tcW w:w="3685" w:type="dxa"/>
            <w:vAlign w:val="center"/>
          </w:tcPr>
          <w:p w:rsidR="00EF0882" w:rsidRPr="00954FE5" w:rsidRDefault="00B13235" w:rsidP="000B3A90">
            <w:pPr>
              <w:spacing w:before="80" w:after="80"/>
              <w:ind w:right="142"/>
              <w:jc w:val="right"/>
              <w:rPr>
                <w:color w:val="009999"/>
                <w:lang w:val="en-GB"/>
              </w:rPr>
            </w:pPr>
            <w:hyperlink r:id="rId19" w:history="1">
              <w:r w:rsidR="00EF0882" w:rsidRPr="00954FE5">
                <w:rPr>
                  <w:rStyle w:val="Hyperlink"/>
                  <w:color w:val="009999"/>
                  <w:sz w:val="20"/>
                  <w:szCs w:val="20"/>
                  <w:lang w:val="en-GB"/>
                </w:rPr>
                <w:t>geoffrey.reason@stategrowth.tas.gov.au</w:t>
              </w:r>
            </w:hyperlink>
          </w:p>
        </w:tc>
      </w:tr>
      <w:tr w:rsidR="00EF0882" w:rsidRPr="006E7989" w:rsidTr="00D53812">
        <w:trPr>
          <w:trHeight w:val="396"/>
        </w:trPr>
        <w:tc>
          <w:tcPr>
            <w:tcW w:w="1985" w:type="dxa"/>
            <w:vAlign w:val="center"/>
          </w:tcPr>
          <w:p w:rsidR="00EF0882" w:rsidRPr="006E7989" w:rsidRDefault="00EF0882" w:rsidP="000B3A90">
            <w:pPr>
              <w:spacing w:before="80" w:after="80"/>
              <w:ind w:right="142"/>
              <w:rPr>
                <w:color w:val="000000"/>
                <w:lang w:val="en-GB"/>
              </w:rPr>
            </w:pPr>
            <w:r w:rsidRPr="006E7989">
              <w:rPr>
                <w:color w:val="000000"/>
                <w:sz w:val="20"/>
                <w:szCs w:val="20"/>
                <w:lang w:val="en-GB"/>
              </w:rPr>
              <w:t>Lisa Cairns</w:t>
            </w:r>
          </w:p>
        </w:tc>
        <w:tc>
          <w:tcPr>
            <w:tcW w:w="3123" w:type="dxa"/>
            <w:vAlign w:val="center"/>
          </w:tcPr>
          <w:p w:rsidR="00EF0882" w:rsidRPr="006E7989" w:rsidRDefault="00EF0882" w:rsidP="000B3A90">
            <w:pPr>
              <w:spacing w:before="80" w:after="80"/>
              <w:ind w:right="142"/>
              <w:rPr>
                <w:color w:val="000000"/>
                <w:lang w:val="en-GB"/>
              </w:rPr>
            </w:pPr>
            <w:r w:rsidRPr="006E7989">
              <w:rPr>
                <w:color w:val="000000"/>
                <w:sz w:val="20"/>
                <w:szCs w:val="20"/>
                <w:lang w:val="en-GB"/>
              </w:rPr>
              <w:t>Bus Passes</w:t>
            </w:r>
          </w:p>
        </w:tc>
        <w:tc>
          <w:tcPr>
            <w:tcW w:w="1555" w:type="dxa"/>
            <w:vAlign w:val="center"/>
          </w:tcPr>
          <w:p w:rsidR="00EF0882" w:rsidRPr="006E7989" w:rsidRDefault="00EF0882" w:rsidP="000B3A90">
            <w:pPr>
              <w:spacing w:before="80" w:after="80"/>
              <w:ind w:right="142"/>
              <w:jc w:val="center"/>
              <w:rPr>
                <w:color w:val="000000"/>
                <w:lang w:val="en-GB"/>
              </w:rPr>
            </w:pPr>
            <w:r w:rsidRPr="006E7989">
              <w:rPr>
                <w:color w:val="000000"/>
                <w:sz w:val="20"/>
                <w:szCs w:val="20"/>
                <w:lang w:val="en-GB"/>
              </w:rPr>
              <w:t>6166 3333</w:t>
            </w:r>
          </w:p>
        </w:tc>
        <w:tc>
          <w:tcPr>
            <w:tcW w:w="3685" w:type="dxa"/>
            <w:vAlign w:val="center"/>
          </w:tcPr>
          <w:p w:rsidR="00EF0882" w:rsidRPr="00954FE5" w:rsidRDefault="00B13235" w:rsidP="000B3A90">
            <w:pPr>
              <w:spacing w:before="80" w:after="80"/>
              <w:ind w:right="142"/>
              <w:jc w:val="right"/>
              <w:rPr>
                <w:color w:val="009999"/>
                <w:lang w:val="en-GB"/>
              </w:rPr>
            </w:pPr>
            <w:hyperlink r:id="rId20" w:history="1">
              <w:r w:rsidR="00EF0882" w:rsidRPr="00954FE5">
                <w:rPr>
                  <w:rStyle w:val="Hyperlink"/>
                  <w:color w:val="009999"/>
                  <w:sz w:val="20"/>
                  <w:szCs w:val="20"/>
                  <w:lang w:val="en-GB"/>
                </w:rPr>
                <w:t>lisa.cairns@stategrowth.tas.gov.au</w:t>
              </w:r>
            </w:hyperlink>
          </w:p>
        </w:tc>
      </w:tr>
    </w:tbl>
    <w:p w:rsidR="007E17D7" w:rsidRPr="00D526FF" w:rsidRDefault="00B13235" w:rsidP="00D526FF">
      <w:pPr>
        <w:ind w:right="142"/>
        <w:rPr>
          <w:lang w:val="en-GB"/>
        </w:rPr>
      </w:pPr>
    </w:p>
    <w:sectPr w:rsidR="007E17D7" w:rsidRPr="00D526FF" w:rsidSect="00EF0882">
      <w:footerReference w:type="default" r:id="rId21"/>
      <w:footerReference w:type="first" r:id="rId22"/>
      <w:pgSz w:w="11906" w:h="16838"/>
      <w:pgMar w:top="851" w:right="424" w:bottom="1440"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235" w:rsidRDefault="00B13235" w:rsidP="006E7989">
      <w:pPr>
        <w:spacing w:after="0" w:line="240" w:lineRule="auto"/>
      </w:pPr>
      <w:r>
        <w:separator/>
      </w:r>
    </w:p>
  </w:endnote>
  <w:endnote w:type="continuationSeparator" w:id="0">
    <w:p w:rsidR="00B13235" w:rsidRDefault="00B13235" w:rsidP="006E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24149"/>
      <w:docPartObj>
        <w:docPartGallery w:val="Page Numbers (Bottom of Page)"/>
        <w:docPartUnique/>
      </w:docPartObj>
    </w:sdtPr>
    <w:sdtEndPr/>
    <w:sdtContent>
      <w:sdt>
        <w:sdtPr>
          <w:id w:val="-989854805"/>
          <w:docPartObj>
            <w:docPartGallery w:val="Page Numbers (Top of Page)"/>
            <w:docPartUnique/>
          </w:docPartObj>
        </w:sdtPr>
        <w:sdtEndPr/>
        <w:sdtContent>
          <w:p w:rsidR="006D3E7E" w:rsidRDefault="006D3E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1EC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1EC9">
              <w:rPr>
                <w:b/>
                <w:bCs/>
                <w:noProof/>
              </w:rPr>
              <w:t>4</w:t>
            </w:r>
            <w:r>
              <w:rPr>
                <w:b/>
                <w:bCs/>
                <w:sz w:val="24"/>
                <w:szCs w:val="24"/>
              </w:rPr>
              <w:fldChar w:fldCharType="end"/>
            </w:r>
          </w:p>
        </w:sdtContent>
      </w:sdt>
    </w:sdtContent>
  </w:sdt>
  <w:p w:rsidR="006D3E7E" w:rsidRDefault="006D3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224282"/>
      <w:docPartObj>
        <w:docPartGallery w:val="Page Numbers (Bottom of Page)"/>
        <w:docPartUnique/>
      </w:docPartObj>
    </w:sdtPr>
    <w:sdtEndPr/>
    <w:sdtContent>
      <w:sdt>
        <w:sdtPr>
          <w:id w:val="-1769616900"/>
          <w:docPartObj>
            <w:docPartGallery w:val="Page Numbers (Top of Page)"/>
            <w:docPartUnique/>
          </w:docPartObj>
        </w:sdtPr>
        <w:sdtEndPr/>
        <w:sdtContent>
          <w:p w:rsidR="006D3E7E" w:rsidRDefault="006D3E7E" w:rsidP="006D3E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1E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1EC9">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235" w:rsidRDefault="00B13235" w:rsidP="006E7989">
      <w:pPr>
        <w:spacing w:after="0" w:line="240" w:lineRule="auto"/>
      </w:pPr>
      <w:r>
        <w:separator/>
      </w:r>
    </w:p>
  </w:footnote>
  <w:footnote w:type="continuationSeparator" w:id="0">
    <w:p w:rsidR="00B13235" w:rsidRDefault="00B13235" w:rsidP="006E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E54F3"/>
    <w:multiLevelType w:val="hybridMultilevel"/>
    <w:tmpl w:val="5CC8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5404F1"/>
    <w:multiLevelType w:val="hybridMultilevel"/>
    <w:tmpl w:val="5FF4774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BA4FD0"/>
    <w:multiLevelType w:val="hybridMultilevel"/>
    <w:tmpl w:val="55D8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523B2"/>
    <w:multiLevelType w:val="hybridMultilevel"/>
    <w:tmpl w:val="A502B742"/>
    <w:lvl w:ilvl="0" w:tplc="47644D94">
      <w:numFmt w:val="bullet"/>
      <w:lvlText w:val="•"/>
      <w:lvlJc w:val="left"/>
      <w:pPr>
        <w:ind w:left="1080" w:hanging="72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442BE9"/>
    <w:multiLevelType w:val="hybridMultilevel"/>
    <w:tmpl w:val="6E9E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89"/>
    <w:rsid w:val="0002624D"/>
    <w:rsid w:val="000365B5"/>
    <w:rsid w:val="0004329D"/>
    <w:rsid w:val="0008189B"/>
    <w:rsid w:val="000B3A90"/>
    <w:rsid w:val="000F316C"/>
    <w:rsid w:val="001445FB"/>
    <w:rsid w:val="001A4B73"/>
    <w:rsid w:val="001D14CD"/>
    <w:rsid w:val="001F24D6"/>
    <w:rsid w:val="00232BA3"/>
    <w:rsid w:val="00233019"/>
    <w:rsid w:val="002F0DC8"/>
    <w:rsid w:val="002F5F66"/>
    <w:rsid w:val="00341DE6"/>
    <w:rsid w:val="00367819"/>
    <w:rsid w:val="00390F6C"/>
    <w:rsid w:val="004754F9"/>
    <w:rsid w:val="004936FC"/>
    <w:rsid w:val="004B6C67"/>
    <w:rsid w:val="005207CA"/>
    <w:rsid w:val="00534224"/>
    <w:rsid w:val="00555E87"/>
    <w:rsid w:val="00585D44"/>
    <w:rsid w:val="005A4A7C"/>
    <w:rsid w:val="005C18F3"/>
    <w:rsid w:val="005C6047"/>
    <w:rsid w:val="00612115"/>
    <w:rsid w:val="006306E3"/>
    <w:rsid w:val="006A739F"/>
    <w:rsid w:val="006B0B21"/>
    <w:rsid w:val="006C5A86"/>
    <w:rsid w:val="006D3E7E"/>
    <w:rsid w:val="006E7989"/>
    <w:rsid w:val="00714FEA"/>
    <w:rsid w:val="00732865"/>
    <w:rsid w:val="00753B8A"/>
    <w:rsid w:val="007543F1"/>
    <w:rsid w:val="00781905"/>
    <w:rsid w:val="007C0427"/>
    <w:rsid w:val="007D08DA"/>
    <w:rsid w:val="007F4A12"/>
    <w:rsid w:val="00807FD9"/>
    <w:rsid w:val="008F0B3A"/>
    <w:rsid w:val="00930172"/>
    <w:rsid w:val="00954FE5"/>
    <w:rsid w:val="0096184D"/>
    <w:rsid w:val="009D00B6"/>
    <w:rsid w:val="009D4194"/>
    <w:rsid w:val="00A055BA"/>
    <w:rsid w:val="00A44665"/>
    <w:rsid w:val="00A57BC0"/>
    <w:rsid w:val="00AE17E9"/>
    <w:rsid w:val="00B13235"/>
    <w:rsid w:val="00B45B4D"/>
    <w:rsid w:val="00BC3EEF"/>
    <w:rsid w:val="00BD3707"/>
    <w:rsid w:val="00C76BC3"/>
    <w:rsid w:val="00CB40F2"/>
    <w:rsid w:val="00CD684A"/>
    <w:rsid w:val="00CD7485"/>
    <w:rsid w:val="00D009F1"/>
    <w:rsid w:val="00D3039E"/>
    <w:rsid w:val="00D41EC9"/>
    <w:rsid w:val="00D44D35"/>
    <w:rsid w:val="00D526FF"/>
    <w:rsid w:val="00D53812"/>
    <w:rsid w:val="00D920F1"/>
    <w:rsid w:val="00DA25E5"/>
    <w:rsid w:val="00DC1A3E"/>
    <w:rsid w:val="00DE2564"/>
    <w:rsid w:val="00E31243"/>
    <w:rsid w:val="00E47EF8"/>
    <w:rsid w:val="00E62D75"/>
    <w:rsid w:val="00E7078C"/>
    <w:rsid w:val="00E84C08"/>
    <w:rsid w:val="00EC085A"/>
    <w:rsid w:val="00EC6185"/>
    <w:rsid w:val="00ED7C9E"/>
    <w:rsid w:val="00EF0882"/>
    <w:rsid w:val="00F0747C"/>
    <w:rsid w:val="00F51810"/>
    <w:rsid w:val="00F91B7D"/>
    <w:rsid w:val="00FA3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B82496-C171-4973-85B9-1499C5E7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E7989"/>
    <w:rPr>
      <w:rFonts w:ascii="Gill Sans MT" w:hAnsi="Gill Sans MT"/>
    </w:rPr>
  </w:style>
  <w:style w:type="paragraph" w:styleId="Heading1">
    <w:name w:val="heading 1"/>
    <w:basedOn w:val="Normal"/>
    <w:next w:val="Normal"/>
    <w:link w:val="Heading1Char"/>
    <w:uiPriority w:val="9"/>
    <w:qFormat/>
    <w:rsid w:val="006E7989"/>
    <w:pPr>
      <w:keepNext/>
      <w:keepLines/>
      <w:spacing w:before="240" w:after="0"/>
      <w:outlineLvl w:val="0"/>
    </w:pPr>
    <w:rPr>
      <w:rFonts w:eastAsiaTheme="majorEastAsia" w:cstheme="majorBidi"/>
      <w:color w:val="C00000"/>
      <w:sz w:val="36"/>
      <w:szCs w:val="32"/>
    </w:rPr>
  </w:style>
  <w:style w:type="paragraph" w:styleId="Heading2">
    <w:name w:val="heading 2"/>
    <w:basedOn w:val="Normal"/>
    <w:next w:val="Normal"/>
    <w:link w:val="Heading2Char"/>
    <w:uiPriority w:val="9"/>
    <w:unhideWhenUsed/>
    <w:qFormat/>
    <w:rsid w:val="00232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989"/>
  </w:style>
  <w:style w:type="paragraph" w:styleId="Footer">
    <w:name w:val="footer"/>
    <w:basedOn w:val="Normal"/>
    <w:link w:val="FooterChar"/>
    <w:uiPriority w:val="99"/>
    <w:unhideWhenUsed/>
    <w:rsid w:val="006E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989"/>
  </w:style>
  <w:style w:type="character" w:styleId="Hyperlink">
    <w:name w:val="Hyperlink"/>
    <w:basedOn w:val="DefaultParagraphFont"/>
    <w:uiPriority w:val="99"/>
    <w:unhideWhenUsed/>
    <w:rsid w:val="006E7989"/>
    <w:rPr>
      <w:color w:val="0563C1" w:themeColor="hyperlink"/>
      <w:u w:val="single"/>
    </w:rPr>
  </w:style>
  <w:style w:type="table" w:styleId="MediumGrid2-Accent1">
    <w:name w:val="Medium Grid 2 Accent 1"/>
    <w:basedOn w:val="TableNormal"/>
    <w:uiPriority w:val="68"/>
    <w:rsid w:val="006E7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6E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989"/>
    <w:rPr>
      <w:rFonts w:ascii="Gill Sans MT" w:eastAsiaTheme="majorEastAsia" w:hAnsi="Gill Sans MT" w:cstheme="majorBidi"/>
      <w:color w:val="C00000"/>
      <w:sz w:val="36"/>
      <w:szCs w:val="32"/>
    </w:rPr>
  </w:style>
  <w:style w:type="table" w:styleId="ListTable1Light">
    <w:name w:val="List Table 1 Light"/>
    <w:basedOn w:val="TableNormal"/>
    <w:uiPriority w:val="46"/>
    <w:rsid w:val="00C76BC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32BA3"/>
    <w:pPr>
      <w:ind w:left="720"/>
      <w:contextualSpacing/>
    </w:pPr>
  </w:style>
  <w:style w:type="character" w:customStyle="1" w:styleId="Heading2Char">
    <w:name w:val="Heading 2 Char"/>
    <w:basedOn w:val="DefaultParagraphFont"/>
    <w:link w:val="Heading2"/>
    <w:uiPriority w:val="9"/>
    <w:rsid w:val="00232BA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14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dawson@stategrowth.tas.gov.au" TargetMode="External"/><Relationship Id="rId13" Type="http://schemas.openxmlformats.org/officeDocument/2006/relationships/hyperlink" Target="mailto:nicole.trounce@stategrowth.tas.gov.au" TargetMode="External"/><Relationship Id="rId18" Type="http://schemas.openxmlformats.org/officeDocument/2006/relationships/hyperlink" Target="mailto:andrew.hall@stategrowth.tas.gov.a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babette.moate@stategrowth.tas.gov.au" TargetMode="External"/><Relationship Id="rId17" Type="http://schemas.openxmlformats.org/officeDocument/2006/relationships/hyperlink" Target="mailto:leanne.dac@stategrowth.tas.gov.au" TargetMode="External"/><Relationship Id="rId2" Type="http://schemas.openxmlformats.org/officeDocument/2006/relationships/styles" Target="styles.xml"/><Relationship Id="rId16" Type="http://schemas.openxmlformats.org/officeDocument/2006/relationships/hyperlink" Target="mailto:lauren.stewart@stategrowth.tas.gov.au" TargetMode="External"/><Relationship Id="rId20" Type="http://schemas.openxmlformats.org/officeDocument/2006/relationships/hyperlink" Target="mailto:lisa.cairns@stategrowth.tas.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tscontracts@stategrowth.tas.gov.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im.harris@stategrowth.tas.gov.au" TargetMode="External"/><Relationship Id="rId23" Type="http://schemas.openxmlformats.org/officeDocument/2006/relationships/fontTable" Target="fontTable.xml"/><Relationship Id="rId10" Type="http://schemas.openxmlformats.org/officeDocument/2006/relationships/hyperlink" Target="http://www.stategrowth.tas.gov.au/passenger/transport_access_strategy" TargetMode="External"/><Relationship Id="rId19" Type="http://schemas.openxmlformats.org/officeDocument/2006/relationships/hyperlink" Target="mailto:geoffrey.reason@stategrowth.tas.gov.au" TargetMode="External"/><Relationship Id="rId4" Type="http://schemas.openxmlformats.org/officeDocument/2006/relationships/webSettings" Target="webSettings.xml"/><Relationship Id="rId9" Type="http://schemas.openxmlformats.org/officeDocument/2006/relationships/hyperlink" Target="http://www.stategrowth.tas.gov.au/passenger/reviews/bus_service_recontracting_project" TargetMode="External"/><Relationship Id="rId14" Type="http://schemas.openxmlformats.org/officeDocument/2006/relationships/hyperlink" Target="mailto:craig.elliot@stategrowth.tas.gov.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1</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Lukasek, Ann</dc:creator>
  <cp:keywords/>
  <dc:description/>
  <cp:lastModifiedBy>Dawson, John</cp:lastModifiedBy>
  <cp:revision>51</cp:revision>
  <cp:lastPrinted>2016-07-14T03:22:00Z</cp:lastPrinted>
  <dcterms:created xsi:type="dcterms:W3CDTF">2016-06-22T23:38:00Z</dcterms:created>
  <dcterms:modified xsi:type="dcterms:W3CDTF">2016-07-15T05:44:00Z</dcterms:modified>
</cp:coreProperties>
</file>