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89" w:rsidRDefault="00634C89"/>
    <w:p w:rsidR="00634C89" w:rsidRPr="0039396B" w:rsidRDefault="00634C89" w:rsidP="00634C89">
      <w:pPr>
        <w:rPr>
          <w:sz w:val="24"/>
          <w:szCs w:val="24"/>
        </w:rPr>
      </w:pPr>
      <w:r w:rsidRPr="0039396B">
        <w:rPr>
          <w:sz w:val="24"/>
          <w:szCs w:val="24"/>
        </w:rPr>
        <w:t xml:space="preserve">The following information should be considered </w:t>
      </w:r>
      <w:r w:rsidR="00474AD7" w:rsidRPr="0039396B">
        <w:rPr>
          <w:sz w:val="24"/>
          <w:szCs w:val="24"/>
        </w:rPr>
        <w:t xml:space="preserve">by Project Managers, Road Designers and Contract Administration staff </w:t>
      </w:r>
      <w:r w:rsidRPr="0039396B">
        <w:rPr>
          <w:sz w:val="24"/>
          <w:szCs w:val="24"/>
        </w:rPr>
        <w:t xml:space="preserve">when </w:t>
      </w:r>
      <w:r w:rsidR="00A50C80" w:rsidRPr="0039396B">
        <w:rPr>
          <w:sz w:val="24"/>
          <w:szCs w:val="24"/>
        </w:rPr>
        <w:t xml:space="preserve">soft subgrades are </w:t>
      </w:r>
      <w:r w:rsidR="00474AD7" w:rsidRPr="0039396B">
        <w:rPr>
          <w:sz w:val="24"/>
          <w:szCs w:val="24"/>
        </w:rPr>
        <w:t xml:space="preserve">identified during geotechnical investigations, or are </w:t>
      </w:r>
      <w:r w:rsidR="00A50C80" w:rsidRPr="0039396B">
        <w:rPr>
          <w:sz w:val="24"/>
          <w:szCs w:val="24"/>
        </w:rPr>
        <w:t xml:space="preserve">encountered </w:t>
      </w:r>
      <w:r w:rsidR="00474AD7" w:rsidRPr="0039396B">
        <w:rPr>
          <w:sz w:val="24"/>
          <w:szCs w:val="24"/>
        </w:rPr>
        <w:t>during the construction phase of a road project</w:t>
      </w:r>
      <w:r w:rsidR="00A50C80" w:rsidRPr="0039396B">
        <w:rPr>
          <w:sz w:val="24"/>
          <w:szCs w:val="24"/>
        </w:rPr>
        <w:t>.</w:t>
      </w:r>
    </w:p>
    <w:p w:rsidR="00634C89" w:rsidRPr="00A50C80" w:rsidRDefault="00634C89">
      <w:pPr>
        <w:rPr>
          <w:b/>
          <w:sz w:val="28"/>
          <w:szCs w:val="28"/>
        </w:rPr>
      </w:pPr>
      <w:r w:rsidRPr="00A50C80">
        <w:rPr>
          <w:b/>
          <w:sz w:val="28"/>
          <w:szCs w:val="28"/>
        </w:rPr>
        <w:t>Soft Subgrade Material</w:t>
      </w:r>
    </w:p>
    <w:p w:rsidR="00634C89" w:rsidRPr="0039396B" w:rsidRDefault="000451D6">
      <w:pPr>
        <w:rPr>
          <w:sz w:val="24"/>
          <w:szCs w:val="24"/>
        </w:rPr>
      </w:pPr>
      <w:r w:rsidRPr="0039396B">
        <w:rPr>
          <w:sz w:val="24"/>
          <w:szCs w:val="24"/>
        </w:rPr>
        <w:t xml:space="preserve">The following hierarchy of controls should be </w:t>
      </w:r>
      <w:r w:rsidR="001707B2" w:rsidRPr="0039396B">
        <w:rPr>
          <w:sz w:val="24"/>
          <w:szCs w:val="24"/>
        </w:rPr>
        <w:t>implemented</w:t>
      </w:r>
      <w:r w:rsidRPr="0039396B">
        <w:rPr>
          <w:sz w:val="24"/>
          <w:szCs w:val="24"/>
        </w:rPr>
        <w:t xml:space="preserve"> when soft subgrades or other unsuitable materials are encountered on </w:t>
      </w:r>
      <w:r w:rsidR="001707B2" w:rsidRPr="0039396B">
        <w:rPr>
          <w:sz w:val="24"/>
          <w:szCs w:val="24"/>
        </w:rPr>
        <w:t xml:space="preserve">road </w:t>
      </w:r>
      <w:r w:rsidRPr="0039396B">
        <w:rPr>
          <w:sz w:val="24"/>
          <w:szCs w:val="24"/>
        </w:rPr>
        <w:t>projects:</w:t>
      </w:r>
    </w:p>
    <w:p w:rsidR="000451D6" w:rsidRPr="0039396B" w:rsidRDefault="000451D6" w:rsidP="000451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96B">
        <w:rPr>
          <w:sz w:val="24"/>
          <w:szCs w:val="24"/>
        </w:rPr>
        <w:t>Excavation and replacement of the soft material with suitable select fill material</w:t>
      </w:r>
    </w:p>
    <w:p w:rsidR="000451D6" w:rsidRPr="0039396B" w:rsidRDefault="000451D6" w:rsidP="000451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96B">
        <w:rPr>
          <w:sz w:val="24"/>
          <w:szCs w:val="24"/>
        </w:rPr>
        <w:t>Stabilisation of the subgrade with suitable stabilisation agents</w:t>
      </w:r>
    </w:p>
    <w:p w:rsidR="00634C89" w:rsidRPr="0039396B" w:rsidRDefault="000451D6" w:rsidP="00A50C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96B">
        <w:rPr>
          <w:sz w:val="24"/>
          <w:szCs w:val="24"/>
        </w:rPr>
        <w:t xml:space="preserve">Use of geotextiles, </w:t>
      </w:r>
      <w:proofErr w:type="spellStart"/>
      <w:r w:rsidRPr="0039396B">
        <w:rPr>
          <w:sz w:val="24"/>
          <w:szCs w:val="24"/>
        </w:rPr>
        <w:t>geofabrics</w:t>
      </w:r>
      <w:proofErr w:type="spellEnd"/>
      <w:r w:rsidRPr="0039396B">
        <w:rPr>
          <w:sz w:val="24"/>
          <w:szCs w:val="24"/>
        </w:rPr>
        <w:t xml:space="preserve"> and geogrids (note these products are not to be used to modify the thickness of proposed pavements)</w:t>
      </w:r>
    </w:p>
    <w:p w:rsidR="00A50C80" w:rsidRPr="0039396B" w:rsidRDefault="00A50C80" w:rsidP="00A50C80">
      <w:pPr>
        <w:rPr>
          <w:sz w:val="24"/>
          <w:szCs w:val="24"/>
        </w:rPr>
      </w:pPr>
      <w:r w:rsidRPr="0039396B">
        <w:rPr>
          <w:sz w:val="24"/>
          <w:szCs w:val="24"/>
        </w:rPr>
        <w:t>In all of the options above critical attention to drainage is required. The following types of drainage systems are applicable:</w:t>
      </w:r>
    </w:p>
    <w:p w:rsidR="00A50C80" w:rsidRPr="0039396B" w:rsidRDefault="00A50C80" w:rsidP="00A50C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6B">
        <w:rPr>
          <w:sz w:val="24"/>
          <w:szCs w:val="24"/>
        </w:rPr>
        <w:t>Surface drainage</w:t>
      </w:r>
    </w:p>
    <w:p w:rsidR="00A50C80" w:rsidRPr="0039396B" w:rsidRDefault="00A50C80" w:rsidP="00A50C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6B">
        <w:rPr>
          <w:sz w:val="24"/>
          <w:szCs w:val="24"/>
        </w:rPr>
        <w:t>Subsurface drainage</w:t>
      </w:r>
    </w:p>
    <w:p w:rsidR="00A50C80" w:rsidRPr="0039396B" w:rsidRDefault="00A50C80" w:rsidP="00A50C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6B">
        <w:rPr>
          <w:sz w:val="24"/>
          <w:szCs w:val="24"/>
        </w:rPr>
        <w:t>Drainage blankets</w:t>
      </w:r>
    </w:p>
    <w:p w:rsidR="001707B2" w:rsidRPr="0039396B" w:rsidRDefault="001707B2" w:rsidP="001707B2">
      <w:pPr>
        <w:rPr>
          <w:sz w:val="24"/>
          <w:szCs w:val="24"/>
        </w:rPr>
      </w:pPr>
      <w:r w:rsidRPr="0039396B">
        <w:rPr>
          <w:sz w:val="24"/>
          <w:szCs w:val="24"/>
        </w:rPr>
        <w:t>Drainage blankets have a particular application in the construction of road pavements and road embankments.</w:t>
      </w:r>
    </w:p>
    <w:p w:rsidR="00634C89" w:rsidRPr="00A50C80" w:rsidRDefault="00634C89">
      <w:pPr>
        <w:rPr>
          <w:b/>
          <w:sz w:val="28"/>
          <w:szCs w:val="28"/>
        </w:rPr>
      </w:pPr>
      <w:r w:rsidRPr="00A50C80">
        <w:rPr>
          <w:b/>
          <w:sz w:val="28"/>
          <w:szCs w:val="28"/>
        </w:rPr>
        <w:t>Drainage Blankets</w:t>
      </w:r>
    </w:p>
    <w:p w:rsidR="002F5721" w:rsidRDefault="001707B2">
      <w:pPr>
        <w:rPr>
          <w:sz w:val="24"/>
          <w:szCs w:val="24"/>
        </w:rPr>
      </w:pPr>
      <w:r w:rsidRPr="0039396B">
        <w:rPr>
          <w:sz w:val="24"/>
          <w:szCs w:val="24"/>
        </w:rPr>
        <w:t>Drainage blankets should be utilised i</w:t>
      </w:r>
      <w:r w:rsidR="002F5721" w:rsidRPr="0039396B">
        <w:rPr>
          <w:sz w:val="24"/>
          <w:szCs w:val="24"/>
        </w:rPr>
        <w:t xml:space="preserve">n locations subject to high ground water levels, </w:t>
      </w:r>
      <w:r w:rsidRPr="0039396B">
        <w:rPr>
          <w:sz w:val="24"/>
          <w:szCs w:val="24"/>
        </w:rPr>
        <w:t>where other drainage alternatives and formation features are ineffective in intercepting or managing free water</w:t>
      </w:r>
      <w:r w:rsidR="00CC7C37" w:rsidRPr="0039396B">
        <w:rPr>
          <w:sz w:val="24"/>
          <w:szCs w:val="24"/>
        </w:rPr>
        <w:t>.</w:t>
      </w:r>
      <w:r w:rsidRPr="0039396B">
        <w:rPr>
          <w:sz w:val="24"/>
          <w:szCs w:val="24"/>
        </w:rPr>
        <w:t xml:space="preserve">  In this </w:t>
      </w:r>
      <w:r w:rsidR="00CA3771" w:rsidRPr="0039396B">
        <w:rPr>
          <w:sz w:val="24"/>
          <w:szCs w:val="24"/>
        </w:rPr>
        <w:t>situation</w:t>
      </w:r>
      <w:r w:rsidRPr="0039396B">
        <w:rPr>
          <w:sz w:val="24"/>
          <w:szCs w:val="24"/>
        </w:rPr>
        <w:t>, t</w:t>
      </w:r>
      <w:r w:rsidR="002F5721" w:rsidRPr="0039396B">
        <w:rPr>
          <w:sz w:val="24"/>
          <w:szCs w:val="24"/>
        </w:rPr>
        <w:t xml:space="preserve">he use of a rock blanket as a lower subbase layer may be the most effective means of removing </w:t>
      </w:r>
      <w:r w:rsidRPr="0039396B">
        <w:rPr>
          <w:sz w:val="24"/>
          <w:szCs w:val="24"/>
        </w:rPr>
        <w:t xml:space="preserve">the free </w:t>
      </w:r>
      <w:r w:rsidR="002F5721" w:rsidRPr="0039396B">
        <w:rPr>
          <w:sz w:val="24"/>
          <w:szCs w:val="24"/>
        </w:rPr>
        <w:t>water from beneath the pavement</w:t>
      </w:r>
      <w:r w:rsidRPr="0039396B">
        <w:rPr>
          <w:sz w:val="24"/>
          <w:szCs w:val="24"/>
        </w:rPr>
        <w:t xml:space="preserve"> or embankment</w:t>
      </w:r>
      <w:r w:rsidR="002F5721" w:rsidRPr="0039396B">
        <w:rPr>
          <w:sz w:val="24"/>
          <w:szCs w:val="24"/>
        </w:rPr>
        <w:t>.</w:t>
      </w:r>
    </w:p>
    <w:p w:rsidR="00234530" w:rsidRPr="0039396B" w:rsidRDefault="00234530">
      <w:pPr>
        <w:rPr>
          <w:sz w:val="24"/>
          <w:szCs w:val="24"/>
        </w:rPr>
      </w:pPr>
      <w:r>
        <w:rPr>
          <w:sz w:val="24"/>
          <w:szCs w:val="24"/>
        </w:rPr>
        <w:t xml:space="preserve">Drainage blankets should </w:t>
      </w:r>
      <w:r w:rsidR="00B75944">
        <w:rPr>
          <w:sz w:val="24"/>
          <w:szCs w:val="24"/>
        </w:rPr>
        <w:t xml:space="preserve">only </w:t>
      </w:r>
      <w:r>
        <w:rPr>
          <w:sz w:val="24"/>
          <w:szCs w:val="24"/>
        </w:rPr>
        <w:t>be used for their intended purpose and should not be used as general solution for subgrade improvement regardless of actual site conditions.</w:t>
      </w:r>
    </w:p>
    <w:p w:rsidR="0039396B" w:rsidRPr="0039396B" w:rsidRDefault="0039396B">
      <w:pPr>
        <w:rPr>
          <w:b/>
          <w:sz w:val="28"/>
          <w:szCs w:val="28"/>
        </w:rPr>
      </w:pPr>
      <w:r w:rsidRPr="0039396B">
        <w:rPr>
          <w:b/>
          <w:sz w:val="28"/>
          <w:szCs w:val="28"/>
        </w:rPr>
        <w:t>Reference Documents</w:t>
      </w:r>
      <w:bookmarkStart w:id="0" w:name="_GoBack"/>
      <w:bookmarkEnd w:id="0"/>
    </w:p>
    <w:p w:rsidR="00474AD7" w:rsidRPr="0039396B" w:rsidRDefault="00474AD7">
      <w:pPr>
        <w:rPr>
          <w:sz w:val="24"/>
          <w:szCs w:val="24"/>
        </w:rPr>
      </w:pPr>
      <w:r w:rsidRPr="0039396B">
        <w:rPr>
          <w:sz w:val="24"/>
          <w:szCs w:val="24"/>
        </w:rPr>
        <w:t xml:space="preserve">Additional information </w:t>
      </w:r>
      <w:r w:rsidR="00CC7C37" w:rsidRPr="0039396B">
        <w:rPr>
          <w:sz w:val="24"/>
          <w:szCs w:val="24"/>
        </w:rPr>
        <w:t>relating to this topic</w:t>
      </w:r>
      <w:r w:rsidRPr="0039396B">
        <w:rPr>
          <w:sz w:val="24"/>
          <w:szCs w:val="24"/>
        </w:rPr>
        <w:t xml:space="preserve"> can be </w:t>
      </w:r>
      <w:r w:rsidR="00CC7C37" w:rsidRPr="0039396B">
        <w:rPr>
          <w:sz w:val="24"/>
          <w:szCs w:val="24"/>
        </w:rPr>
        <w:t>found in the following Reference Documents:</w:t>
      </w:r>
    </w:p>
    <w:p w:rsidR="00474AD7" w:rsidRPr="0039396B" w:rsidRDefault="00474AD7" w:rsidP="00CC7C3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9396B">
        <w:rPr>
          <w:sz w:val="24"/>
          <w:szCs w:val="24"/>
        </w:rPr>
        <w:t>Austroads</w:t>
      </w:r>
      <w:proofErr w:type="spellEnd"/>
      <w:r w:rsidRPr="0039396B">
        <w:rPr>
          <w:sz w:val="24"/>
          <w:szCs w:val="24"/>
        </w:rPr>
        <w:t xml:space="preserve"> Guide to Pavement Technology – Part 2: Pavement Structural Design – 2012</w:t>
      </w:r>
    </w:p>
    <w:p w:rsidR="00474AD7" w:rsidRPr="0039396B" w:rsidRDefault="00474AD7" w:rsidP="00CC7C3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9396B">
        <w:rPr>
          <w:sz w:val="24"/>
          <w:szCs w:val="24"/>
        </w:rPr>
        <w:t>Austroads</w:t>
      </w:r>
      <w:proofErr w:type="spellEnd"/>
      <w:r w:rsidRPr="0039396B">
        <w:rPr>
          <w:sz w:val="24"/>
          <w:szCs w:val="24"/>
        </w:rPr>
        <w:t xml:space="preserve"> Guide to Pavement Technology – Part 8: Pavement Construction – 2009</w:t>
      </w:r>
    </w:p>
    <w:p w:rsidR="00474AD7" w:rsidRPr="0039396B" w:rsidRDefault="00474AD7" w:rsidP="00CC7C3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9396B">
        <w:rPr>
          <w:sz w:val="24"/>
          <w:szCs w:val="24"/>
        </w:rPr>
        <w:t>Austroads</w:t>
      </w:r>
      <w:proofErr w:type="spellEnd"/>
      <w:r w:rsidRPr="0039396B">
        <w:rPr>
          <w:sz w:val="24"/>
          <w:szCs w:val="24"/>
        </w:rPr>
        <w:t xml:space="preserve"> Guide to Pavement Technology – Part 10: Subsurface Drainage - 2009</w:t>
      </w:r>
    </w:p>
    <w:p w:rsidR="002F5721" w:rsidRDefault="002F5721"/>
    <w:sectPr w:rsidR="002F57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16" w:rsidRDefault="004C2916" w:rsidP="00634C89">
      <w:pPr>
        <w:spacing w:after="0" w:line="240" w:lineRule="auto"/>
      </w:pPr>
      <w:r>
        <w:separator/>
      </w:r>
    </w:p>
  </w:endnote>
  <w:endnote w:type="continuationSeparator" w:id="0">
    <w:p w:rsidR="004C2916" w:rsidRDefault="004C2916" w:rsidP="006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6B" w:rsidRDefault="00B27834">
    <w:pPr>
      <w:pStyle w:val="Footer"/>
    </w:pPr>
    <w:sdt>
      <w:sdtPr>
        <w:id w:val="969400743"/>
        <w:placeholder>
          <w:docPart w:val="867C14216EFD4D9397452CFFDE63E5E3"/>
        </w:placeholder>
        <w:temporary/>
        <w:showingPlcHdr/>
        <w15:appearance w15:val="hidden"/>
      </w:sdtPr>
      <w:sdtEndPr/>
      <w:sdtContent>
        <w:r w:rsidR="0039396B">
          <w:t>[Type here]</w:t>
        </w:r>
      </w:sdtContent>
    </w:sdt>
    <w:r w:rsidR="0039396B">
      <w:ptab w:relativeTo="margin" w:alignment="center" w:leader="none"/>
    </w:r>
    <w:sdt>
      <w:sdtPr>
        <w:id w:val="969400748"/>
        <w:placeholder>
          <w:docPart w:val="867C14216EFD4D9397452CFFDE63E5E3"/>
        </w:placeholder>
        <w:temporary/>
        <w:showingPlcHdr/>
        <w15:appearance w15:val="hidden"/>
      </w:sdtPr>
      <w:sdtEndPr/>
      <w:sdtContent>
        <w:r w:rsidR="0039396B">
          <w:t>[Type here]</w:t>
        </w:r>
      </w:sdtContent>
    </w:sdt>
    <w:r w:rsidR="0039396B">
      <w:ptab w:relativeTo="margin" w:alignment="right" w:leader="none"/>
    </w:r>
    <w:r w:rsidR="001E4DB4">
      <w:t>April</w:t>
    </w:r>
    <w:r w:rsidR="0039396B">
      <w:t xml:space="preserve"> 201</w:t>
    </w:r>
    <w:r w:rsidR="001E4DB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16" w:rsidRDefault="004C2916" w:rsidP="00634C89">
      <w:pPr>
        <w:spacing w:after="0" w:line="240" w:lineRule="auto"/>
      </w:pPr>
      <w:r>
        <w:separator/>
      </w:r>
    </w:p>
  </w:footnote>
  <w:footnote w:type="continuationSeparator" w:id="0">
    <w:p w:rsidR="004C2916" w:rsidRDefault="004C2916" w:rsidP="0063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9" w:rsidRDefault="00634C8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posOffset>426720</wp:posOffset>
              </wp:positionV>
              <wp:extent cx="5949950" cy="55626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562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34C89" w:rsidRPr="00634C89" w:rsidRDefault="001E4DB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E4DB4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State Growth –</w:t>
                              </w:r>
                              <w:r w:rsidRPr="001E4DB4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E4DB4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SUPPLEMENT TO SEC 204</w:t>
                              </w:r>
                            </w:p>
                          </w:sdtContent>
                        </w:sdt>
                        <w:p w:rsidR="00634C89" w:rsidRPr="00634C89" w:rsidRDefault="001E4DB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Earthworks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33.6pt;width:468.5pt;height:43.8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34C89" w:rsidRPr="00634C89" w:rsidRDefault="001E4DB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E4DB4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State Growth –</w:t>
                        </w:r>
                        <w:r w:rsidRPr="001E4DB4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1E4DB4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SUPPLEMENT TO SEC 204</w:t>
                        </w:r>
                      </w:p>
                    </w:sdtContent>
                  </w:sdt>
                  <w:p w:rsidR="00634C89" w:rsidRPr="00634C89" w:rsidRDefault="001E4DB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Earthworks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490B"/>
    <w:multiLevelType w:val="hybridMultilevel"/>
    <w:tmpl w:val="1ADA8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400F"/>
    <w:multiLevelType w:val="hybridMultilevel"/>
    <w:tmpl w:val="A5E6E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60EA"/>
    <w:multiLevelType w:val="hybridMultilevel"/>
    <w:tmpl w:val="70FAB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2B"/>
    <w:rsid w:val="000451D6"/>
    <w:rsid w:val="001707B2"/>
    <w:rsid w:val="0018782B"/>
    <w:rsid w:val="001E4DB4"/>
    <w:rsid w:val="00234530"/>
    <w:rsid w:val="002F5721"/>
    <w:rsid w:val="003528A7"/>
    <w:rsid w:val="0039396B"/>
    <w:rsid w:val="00474AD7"/>
    <w:rsid w:val="004C2916"/>
    <w:rsid w:val="006218D4"/>
    <w:rsid w:val="00634C89"/>
    <w:rsid w:val="00A50C80"/>
    <w:rsid w:val="00AB3386"/>
    <w:rsid w:val="00B75944"/>
    <w:rsid w:val="00CA3771"/>
    <w:rsid w:val="00CB20CD"/>
    <w:rsid w:val="00C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4A8624-2DC9-4335-8A00-EE11190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89"/>
  </w:style>
  <w:style w:type="paragraph" w:styleId="Footer">
    <w:name w:val="footer"/>
    <w:basedOn w:val="Normal"/>
    <w:link w:val="FooterChar"/>
    <w:uiPriority w:val="99"/>
    <w:unhideWhenUsed/>
    <w:rsid w:val="0063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89"/>
  </w:style>
  <w:style w:type="paragraph" w:styleId="ListParagraph">
    <w:name w:val="List Paragraph"/>
    <w:basedOn w:val="Normal"/>
    <w:uiPriority w:val="34"/>
    <w:qFormat/>
    <w:rsid w:val="00045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7C14216EFD4D9397452CFFDE63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9937-0311-4E5E-B37A-5F06700107A1}"/>
      </w:docPartPr>
      <w:docPartBody>
        <w:p w:rsidR="008675E6" w:rsidRDefault="006748A8" w:rsidP="006748A8">
          <w:pPr>
            <w:pStyle w:val="867C14216EFD4D9397452CFFDE63E5E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A8"/>
    <w:rsid w:val="003B51C5"/>
    <w:rsid w:val="006748A8"/>
    <w:rsid w:val="008675E6"/>
    <w:rsid w:val="00E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C14216EFD4D9397452CFFDE63E5E3">
    <w:name w:val="867C14216EFD4D9397452CFFDE63E5E3"/>
    <w:rsid w:val="00674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1635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Growth – Advisory Note  </vt:lpstr>
    </vt:vector>
  </TitlesOfParts>
  <Company>Department of State Growth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Growth – SUPPLEMENT TO SEC 204</dc:title>
  <dc:subject/>
  <dc:creator>Booth, Ian</dc:creator>
  <cp:keywords/>
  <dc:description/>
  <cp:lastModifiedBy>Booth, Ian</cp:lastModifiedBy>
  <cp:revision>2</cp:revision>
  <cp:lastPrinted>2017-05-12T05:47:00Z</cp:lastPrinted>
  <dcterms:created xsi:type="dcterms:W3CDTF">2018-04-11T01:56:00Z</dcterms:created>
  <dcterms:modified xsi:type="dcterms:W3CDTF">2018-04-11T01:56:00Z</dcterms:modified>
</cp:coreProperties>
</file>